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BF8" w:rsidRPr="0093676B" w:rsidRDefault="00A95BF8" w:rsidP="00942A42">
      <w:pPr>
        <w:pStyle w:val="ConsPlusNormal"/>
        <w:widowControl/>
        <w:ind w:firstLine="0"/>
        <w:jc w:val="center"/>
        <w:rPr>
          <w:rFonts w:ascii="Calibri" w:hAnsi="Calibri"/>
          <w:b/>
          <w:i/>
          <w:sz w:val="22"/>
          <w:szCs w:val="22"/>
        </w:rPr>
      </w:pPr>
      <w:r w:rsidRPr="0093676B">
        <w:rPr>
          <w:rFonts w:ascii="Calibri" w:hAnsi="Calibri"/>
          <w:b/>
          <w:i/>
          <w:sz w:val="22"/>
          <w:szCs w:val="22"/>
        </w:rPr>
        <w:t>Порядок технологического присоединения к сетям ООО «</w:t>
      </w:r>
      <w:r>
        <w:rPr>
          <w:rFonts w:ascii="Calibri" w:hAnsi="Calibri"/>
          <w:b/>
          <w:i/>
          <w:sz w:val="22"/>
          <w:szCs w:val="22"/>
        </w:rPr>
        <w:t>МИП «Кинешма</w:t>
      </w:r>
      <w:r w:rsidRPr="0093676B">
        <w:rPr>
          <w:rFonts w:ascii="Calibri" w:hAnsi="Calibri"/>
          <w:b/>
          <w:i/>
          <w:sz w:val="22"/>
          <w:szCs w:val="22"/>
        </w:rPr>
        <w:t>»</w:t>
      </w:r>
    </w:p>
    <w:p w:rsidR="00A95BF8" w:rsidRDefault="00A95BF8" w:rsidP="00942A42">
      <w:pPr>
        <w:pStyle w:val="ConsPlusNormal"/>
        <w:widowControl/>
        <w:ind w:left="708" w:firstLine="708"/>
        <w:jc w:val="both"/>
        <w:rPr>
          <w:rFonts w:ascii="Calibri" w:hAnsi="Calibri"/>
          <w:sz w:val="22"/>
          <w:szCs w:val="22"/>
          <w:lang w:val="en-US"/>
        </w:rPr>
      </w:pPr>
    </w:p>
    <w:p w:rsidR="00A95BF8" w:rsidRDefault="00A95BF8" w:rsidP="00942A42">
      <w:pPr>
        <w:pStyle w:val="ConsPlusNormal"/>
        <w:widowControl/>
        <w:ind w:left="708" w:firstLine="708"/>
        <w:jc w:val="both"/>
        <w:rPr>
          <w:rFonts w:ascii="Calibri" w:hAnsi="Calibri"/>
          <w:sz w:val="22"/>
          <w:szCs w:val="22"/>
        </w:rPr>
      </w:pPr>
      <w:r w:rsidRPr="0093676B">
        <w:rPr>
          <w:rFonts w:ascii="Calibri" w:hAnsi="Calibri"/>
          <w:sz w:val="22"/>
          <w:szCs w:val="22"/>
        </w:rPr>
        <w:t>Технологическое присоединение к сетям ООО «</w:t>
      </w:r>
      <w:r>
        <w:rPr>
          <w:rFonts w:ascii="Calibri" w:hAnsi="Calibri"/>
          <w:sz w:val="22"/>
          <w:szCs w:val="22"/>
        </w:rPr>
        <w:t>МИП «КИнешма</w:t>
      </w:r>
      <w:r w:rsidRPr="0093676B">
        <w:rPr>
          <w:rFonts w:ascii="Calibri" w:hAnsi="Calibri"/>
          <w:sz w:val="22"/>
          <w:szCs w:val="22"/>
        </w:rPr>
        <w:t xml:space="preserve">» осуществляется на основании требований Правил технологического присоединения энергопринимающих устройств (энергетических установок) юридических и физических лиц к электрическим сетям», утвержденных Постановлением Правительства Российской Федерации от 27 декабря </w:t>
      </w:r>
      <w:smartTag w:uri="urn:schemas-microsoft-com:office:smarttags" w:element="metricconverter">
        <w:smartTagPr>
          <w:attr w:name="ProductID" w:val="2004 г"/>
        </w:smartTagPr>
        <w:r w:rsidRPr="0093676B">
          <w:rPr>
            <w:rFonts w:ascii="Calibri" w:hAnsi="Calibri"/>
            <w:sz w:val="22"/>
            <w:szCs w:val="22"/>
          </w:rPr>
          <w:t>2004 г</w:t>
        </w:r>
      </w:smartTag>
      <w:r w:rsidRPr="0093676B">
        <w:rPr>
          <w:rFonts w:ascii="Calibri" w:hAnsi="Calibri"/>
          <w:sz w:val="22"/>
          <w:szCs w:val="22"/>
        </w:rPr>
        <w:t>. N 861(в ред. Постановления Правительства РФ от 31.08.2006 N 530)</w:t>
      </w:r>
      <w:r>
        <w:rPr>
          <w:rFonts w:ascii="Calibri" w:hAnsi="Calibri"/>
          <w:sz w:val="22"/>
          <w:szCs w:val="22"/>
        </w:rPr>
        <w:t>. Порядок заключения договора на технологическое присоединение, сроки его заключения и содержание договора определяются требованиями настоящих правил применительно к конкретному случаю заключения договора.</w:t>
      </w:r>
    </w:p>
    <w:p w:rsidR="00A95BF8" w:rsidRPr="00476B72" w:rsidRDefault="00A95BF8" w:rsidP="00942A42">
      <w:pPr>
        <w:pStyle w:val="ConsPlusNormal"/>
        <w:widowControl/>
        <w:ind w:left="708" w:firstLine="708"/>
        <w:jc w:val="both"/>
        <w:rPr>
          <w:rFonts w:ascii="Calibri" w:hAnsi="Calibri"/>
          <w:sz w:val="22"/>
          <w:szCs w:val="22"/>
        </w:rPr>
      </w:pPr>
    </w:p>
    <w:p w:rsidR="00A95BF8" w:rsidRPr="008D50F2" w:rsidRDefault="00A95BF8" w:rsidP="00942A42">
      <w:pPr>
        <w:pStyle w:val="ConsPlusTitle"/>
        <w:widowControl/>
        <w:jc w:val="center"/>
        <w:rPr>
          <w:rFonts w:ascii="Calibri" w:hAnsi="Calibri"/>
          <w:sz w:val="18"/>
          <w:szCs w:val="18"/>
        </w:rPr>
      </w:pPr>
      <w:r w:rsidRPr="008D50F2">
        <w:rPr>
          <w:rFonts w:ascii="Calibri" w:hAnsi="Calibri"/>
          <w:sz w:val="18"/>
          <w:szCs w:val="18"/>
        </w:rPr>
        <w:t>ПРАВИЛА</w:t>
      </w:r>
    </w:p>
    <w:p w:rsidR="00A95BF8" w:rsidRPr="008D50F2" w:rsidRDefault="00A95BF8" w:rsidP="00942A42">
      <w:pPr>
        <w:pStyle w:val="ConsPlusTitle"/>
        <w:widowControl/>
        <w:jc w:val="center"/>
        <w:rPr>
          <w:rFonts w:ascii="Calibri" w:hAnsi="Calibri"/>
          <w:sz w:val="18"/>
          <w:szCs w:val="18"/>
        </w:rPr>
      </w:pPr>
      <w:r w:rsidRPr="008D50F2">
        <w:rPr>
          <w:rFonts w:ascii="Calibri" w:hAnsi="Calibri"/>
          <w:sz w:val="18"/>
          <w:szCs w:val="18"/>
        </w:rPr>
        <w:t>ТЕХНОЛОГИЧЕСКОГО ПРИСОЕДИНЕНИЯ ЭНЕРГОПРИНИМАЮЩИХ УСТРОЙСТВ</w:t>
      </w:r>
    </w:p>
    <w:p w:rsidR="00A95BF8" w:rsidRPr="008D50F2" w:rsidRDefault="00A95BF8" w:rsidP="00942A42">
      <w:pPr>
        <w:pStyle w:val="ConsPlusTitle"/>
        <w:widowControl/>
        <w:jc w:val="center"/>
        <w:rPr>
          <w:rFonts w:ascii="Calibri" w:hAnsi="Calibri"/>
          <w:sz w:val="18"/>
          <w:szCs w:val="18"/>
        </w:rPr>
      </w:pPr>
      <w:r w:rsidRPr="008D50F2">
        <w:rPr>
          <w:rFonts w:ascii="Calibri" w:hAnsi="Calibri"/>
          <w:sz w:val="18"/>
          <w:szCs w:val="18"/>
        </w:rPr>
        <w:t>(ЭНЕРГЕТИЧЕСКИХ УСТАНОВОК) ЮРИДИЧЕСКИХ И ФИЗИЧЕСКИХ ЛИЦ</w:t>
      </w:r>
    </w:p>
    <w:p w:rsidR="00A95BF8" w:rsidRPr="008D50F2" w:rsidRDefault="00A95BF8" w:rsidP="00942A42">
      <w:pPr>
        <w:pStyle w:val="ConsPlusTitle"/>
        <w:widowControl/>
        <w:jc w:val="center"/>
        <w:rPr>
          <w:rFonts w:ascii="Calibri" w:hAnsi="Calibri"/>
          <w:sz w:val="18"/>
          <w:szCs w:val="18"/>
        </w:rPr>
      </w:pPr>
      <w:r w:rsidRPr="008D50F2">
        <w:rPr>
          <w:rFonts w:ascii="Calibri" w:hAnsi="Calibri"/>
          <w:sz w:val="18"/>
          <w:szCs w:val="18"/>
        </w:rPr>
        <w:t>К ЭЛЕКТРИЧЕСКИМ СЕТЯМ</w:t>
      </w:r>
    </w:p>
    <w:p w:rsidR="00A95BF8" w:rsidRPr="008D50F2" w:rsidRDefault="00A95BF8" w:rsidP="00942A42">
      <w:pPr>
        <w:pStyle w:val="ConsPlusNormal"/>
        <w:widowControl/>
        <w:ind w:firstLine="0"/>
        <w:jc w:val="center"/>
        <w:rPr>
          <w:rFonts w:ascii="Calibri" w:hAnsi="Calibri"/>
          <w:sz w:val="18"/>
          <w:szCs w:val="18"/>
        </w:rPr>
      </w:pPr>
    </w:p>
    <w:p w:rsidR="00A95BF8" w:rsidRPr="008D50F2" w:rsidRDefault="00A95BF8" w:rsidP="00942A42">
      <w:pPr>
        <w:pStyle w:val="ConsPlusNormal"/>
        <w:widowControl/>
        <w:ind w:firstLine="0"/>
        <w:jc w:val="center"/>
        <w:rPr>
          <w:rFonts w:ascii="Calibri" w:hAnsi="Calibri"/>
          <w:sz w:val="18"/>
          <w:szCs w:val="18"/>
        </w:rPr>
      </w:pPr>
      <w:r w:rsidRPr="008D50F2">
        <w:rPr>
          <w:rFonts w:ascii="Calibri" w:hAnsi="Calibri"/>
          <w:sz w:val="18"/>
          <w:szCs w:val="18"/>
        </w:rPr>
        <w:t>(в ред. Постановления Правительства РФ от 31.08.2006 N 530)</w:t>
      </w:r>
    </w:p>
    <w:p w:rsidR="00A95BF8" w:rsidRPr="008D50F2" w:rsidRDefault="00A95BF8" w:rsidP="00942A42">
      <w:pPr>
        <w:pStyle w:val="ConsPlusNormal"/>
        <w:widowControl/>
        <w:ind w:firstLine="0"/>
        <w:jc w:val="center"/>
        <w:rPr>
          <w:rFonts w:ascii="Calibri" w:hAnsi="Calibri"/>
          <w:sz w:val="18"/>
          <w:szCs w:val="18"/>
        </w:rPr>
      </w:pPr>
    </w:p>
    <w:p w:rsidR="00A95BF8" w:rsidRPr="008D50F2" w:rsidRDefault="00A95BF8" w:rsidP="00942A42">
      <w:pPr>
        <w:pStyle w:val="ConsPlusNormal"/>
        <w:widowControl/>
        <w:ind w:firstLine="0"/>
        <w:jc w:val="center"/>
        <w:rPr>
          <w:rFonts w:ascii="Calibri" w:hAnsi="Calibri"/>
          <w:sz w:val="18"/>
          <w:szCs w:val="18"/>
        </w:rPr>
      </w:pPr>
      <w:r w:rsidRPr="008D50F2">
        <w:rPr>
          <w:rFonts w:ascii="Calibri" w:hAnsi="Calibri"/>
          <w:sz w:val="18"/>
          <w:szCs w:val="18"/>
        </w:rPr>
        <w:t>I. Общие положения</w:t>
      </w:r>
    </w:p>
    <w:p w:rsidR="00A95BF8" w:rsidRPr="008D50F2" w:rsidRDefault="00A95BF8" w:rsidP="00942A42">
      <w:pPr>
        <w:pStyle w:val="ConsPlusNormal"/>
        <w:widowControl/>
        <w:ind w:firstLine="0"/>
        <w:jc w:val="center"/>
        <w:rPr>
          <w:rFonts w:ascii="Calibri" w:hAnsi="Calibri"/>
          <w:sz w:val="18"/>
          <w:szCs w:val="18"/>
        </w:rPr>
      </w:pP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1. Настоящие Правила определяют порядок технологического присоединения энергопринимающих устройств (энергетических установок) юридических и физических лиц (далее - энергопринимающие устройства), регламентируют процедуру технологического присоединения,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по выдаче индивидуальных технических условий для присоединения к электрическим сетям (далее - технические условия) и критерии наличия (отсутствия) технической возможности технологического присоединения.</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2. Действие настоящих Правил распространяется на лиц, энергопринимающие устройства которых были ранее присоединены к электрической сети и которые заявили о необходимости пересмотра (увеличения) величины присоединенной мощности.</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3. Сетевая организация обязана выполнять в отношении любого обратившегося к ней лица мероприятия по технологическому присоединению впервые вводимых в эксплуатацию, вновь построенных, расширяющих свою ранее присоединенную мощность и реконструируемых энергопринимающих устройств к своим электрическим сетям (далее - технологическое присоединение) при условии соблюдения им настоящих Правил и наличии технической возможности технологического присоединения.</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В отношении энергопринимающих устройств, технологически присоединенных к электрической сети до вступления в силу настоящих Правил, договор не заключается и мероприятия, указанные в пункте 12 настоящих Правил, не выполняются.</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5. При присоединении энергетических установок к распределительным устройствам электростанции последняя выполняет функции сетевой организации в части выполнения мероприятий по договору.</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6. Технологическое присоединение осуществляется на основании договора, заключаемого с сетевой организацией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7. Настоящие Правила устанавливают следующую процедуру технологического присоединения:</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подача заявки на технологическое присоединение с требованием выдачи технических условий;</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подготовка технических условий и направление проекта договора, включающего технические условия;</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заключение договора;</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выполнение технических условий со стороны присоединяемого лица и со стороны сетевой организации;</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выполнение действий по присоединению и обеспечению работы энергопринимающего устройства в электрической сети;</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проверка выполнения технических условий и составление акта о технологическом присоединении.</w:t>
      </w:r>
    </w:p>
    <w:p w:rsidR="00A95BF8" w:rsidRPr="008D50F2" w:rsidRDefault="00A95BF8" w:rsidP="00942A42">
      <w:pPr>
        <w:pStyle w:val="ConsPlusNormal"/>
        <w:widowControl/>
        <w:ind w:firstLine="540"/>
        <w:jc w:val="both"/>
        <w:rPr>
          <w:rFonts w:ascii="Calibri" w:hAnsi="Calibri"/>
          <w:sz w:val="18"/>
          <w:szCs w:val="18"/>
        </w:rPr>
      </w:pPr>
    </w:p>
    <w:p w:rsidR="00A95BF8" w:rsidRPr="008D50F2" w:rsidRDefault="00A95BF8" w:rsidP="00942A42">
      <w:pPr>
        <w:pStyle w:val="ConsPlusNormal"/>
        <w:widowControl/>
        <w:ind w:firstLine="0"/>
        <w:jc w:val="center"/>
        <w:rPr>
          <w:rFonts w:ascii="Calibri" w:hAnsi="Calibri"/>
          <w:sz w:val="18"/>
          <w:szCs w:val="18"/>
        </w:rPr>
      </w:pPr>
      <w:r w:rsidRPr="008D50F2">
        <w:rPr>
          <w:rFonts w:ascii="Calibri" w:hAnsi="Calibri"/>
          <w:sz w:val="18"/>
          <w:szCs w:val="18"/>
        </w:rPr>
        <w:t>II. Порядок заключения и выполнения договора</w:t>
      </w:r>
    </w:p>
    <w:p w:rsidR="00A95BF8" w:rsidRPr="008D50F2" w:rsidRDefault="00A95BF8" w:rsidP="00942A42">
      <w:pPr>
        <w:pStyle w:val="ConsPlusNormal"/>
        <w:widowControl/>
        <w:ind w:firstLine="0"/>
        <w:jc w:val="center"/>
        <w:rPr>
          <w:rFonts w:ascii="Calibri" w:hAnsi="Calibri"/>
          <w:sz w:val="18"/>
          <w:szCs w:val="18"/>
        </w:rPr>
      </w:pP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8. Для получения технических условий и осуществления технологического присоединения лицо, владеющее энергопринимающим устройством, направляет заявку на технологическое присоединение (далее - заявка) в сетевую организацию, к электрической сети которой планируется технологическое присоединение.</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9. В заявке должны быть указаны следующие сведения:</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а) полное наименование заявителя;</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б) место нахождения заявителя;</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в) почтовый адрес заявителя;</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г) план расположения энергопринимающего устройства, в отношении которого планируется осуществить мероприятия по технологическому присоединению;</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д) максимальная мощность энергопринимающего устройства и его технические характеристики, количество, мощность генераторов и присоединяемых к сети трансформаторов;</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е) количество точек присоединения к электрической сети с указанием технических параметров элементов электрических установок, присоединяемых в конкретных точках электрической сети;</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ж) однолинейная схема электрических сетей заявителя, присоединяемых к сетям сетевой организации, с указанием возможности резервирования от собственных источников энергоснабжения (включая резервирование собственных нужд) и возможности переключения нагрузок (генерации) по внутренним сетям заявителя;</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з) заявляемый уровень надежности энергопринимающего устройства;</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и) характер нагрузки потребителя электрической энергии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к) величина и обоснование величины технологического минимума (для генераторов) и аварийной брони (для потребителей электрической энергии);</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л) разрешение уполномоченного органа государственного надзора на допуск в эксплуатацию энергопринимающего устройства (за исключением объектов, находящихся на стадии строительства);</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м) объем возможного участия в автоматическом либо оперативном противоаварийном управлении мощностью (для электростанций и потребителей, за исключением физических лиц) в порядке оказания услуг в соответствии с отдельным договором;</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н) объем возможного участия в нормированном первичном регулировании частоты и во вторичном регулировании мощности (для электростанций) в порядке оказания услуг в соответствии с отдельным договором;</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о) перечень и мощность токоприемников потребителя (за исключением физических лиц), которые могут быть отключены при помощи устройства противоаварийной автоматики.</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Перечень сведений, указываемых в заявке, является исчерпывающим.</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Сетевая организация не вправе требовать представления сведений, не предусмотренных настоящими Правилами.</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10. Сетевая организация обязана в течение 30 дней с даты получения заявки направить заявителю для согласования проект договора.</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При отсутствии сведений, указанных в пункте 9 настоящих Правил, или представлении их в неполном объеме сетевая организация в течение 6 рабочих дней уведомляет об этом заявителя и в 30-дневный срок с даты получения недостающих сведений рассматривает заявку.</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При особо сложном характере технологического присоединения энергопринимающих устройств для организации по управлению единой национальной (общероссийской) электрической сетью или иных владельцев объектов такой сети указанный срок по соглашению сторон может быть увеличен до 90 дней. Заявитель уведомляется об увеличении срока и основаниях его изменения.</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11. Договор должен содержать следующие существенные условия:</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мероприятия по технологическому присоединению и обязательства сторон по их выполнению;</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выполнение технических условий;</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сроки выполнения сетевой организацией мероприятий по технологическому присоединению;</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размер платы за выполнение мероприятий по технологическому присоединению;</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ответственность сторон за выполнение условий договора;</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границы разграничения балансовой принадлежности.</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12. Мероприятия по технологическому присоединению включают в себя:</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а) разработку схемы электроснабжения;</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б) технический осмотр (обследование) присоединяемых энергопринимающих устройств уполномоченным органом государственной власти при участии представителей сетевой организации;</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в) подготовку и выдачу технических условий;</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г) выполнение технических условий (со стороны лица, энергопринимающее устройство которого присоединяется, и со стороны сетевой организации), включая осуществление сетевой организацией мероприятий по оснащению энергопринимающих устройств устройствами релейной защиты, противоаварийной и режимной автоматики в соответствии с техническими условиями;</w:t>
      </w:r>
    </w:p>
    <w:p w:rsidR="00A95BF8" w:rsidRPr="008D50F2" w:rsidRDefault="00A95BF8" w:rsidP="00942A42">
      <w:pPr>
        <w:pStyle w:val="ConsPlusNormal"/>
        <w:widowControl/>
        <w:ind w:firstLine="0"/>
        <w:jc w:val="both"/>
        <w:rPr>
          <w:rFonts w:ascii="Calibri" w:hAnsi="Calibri"/>
          <w:sz w:val="18"/>
          <w:szCs w:val="18"/>
        </w:rPr>
      </w:pPr>
      <w:r w:rsidRPr="008D50F2">
        <w:rPr>
          <w:rFonts w:ascii="Calibri" w:hAnsi="Calibri"/>
          <w:sz w:val="18"/>
          <w:szCs w:val="18"/>
        </w:rPr>
        <w:t>(в ред. Постановления Правительства РФ от 31.08.2006 N 530)</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д) фактические действия по присоединению и обеспечению работы энергопринимающего устройства в электрической сети;</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е) проверку выполнения технических условий и составление акта о технологическом присоединении.</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Перечень мероприятий по технологическому присоединению является исчерпывающим.</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Запрещается навязывать заинтересованному в технологическом присоединении лицу услуги, не предусмотренные настоящими Правилами.</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13. Сетевая организация обязана в течение 30 дней с даты получения заявки рассмотреть ее, подготовить технические условия для технологического присоединения и согласовать их с системным оператором (субъектом оперативно-диспетчерского управления), а организация по управлению единой национальной (общероссийской) электрической сетью или иные владельцы объектов такой сети в случаях, предусмотренных в абзаце третьем пункта 10 настоящих Правил, - в течение 90 дней.</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Сетевая организация обязана в течение 5 дней с даты получения заявки направить ее копию на рассмотрение системного оператора (субъекта оперативно-диспетчерского управления), а затем совместно с ним рассмотреть ее и подготовить технические условия для технологического присоединения.</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14. Технические условия для технологического присоединения являются неотъемлемой частью договора.</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В технических условиях должны быть указаны:</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а) схемы выдачи или приема мощности и точки присоединения к электрической сети (линии электропередачи или базовые подстанции);</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б) обоснованные требования по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увеличение мощности трансформаторов, расширение распределительных устройств, установка компенсирующих устройств для обеспечения качества электроэнергии);</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в) расчетные значения токов короткого замыкания, требования к релейной защите, регулированию напряжения, противоаварийной автоматике, телемеханике, связи, изоляции и защите от перенапряжения, а также к приборам учета электрической энергии и мощности в соответствии с требованиями, установленными нормативными правовыми актами;</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г) требования по оснащению электростанций средствами противоаварийной автоматики для выдачи ее мощности и по оснащению потребителей устройствами противоаварийной автоматики;</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д) требования по оснащению устройствами, обеспечивающими участие электростанций или потребителя в автоматическом либо оперативном противоаварийном управлении мощностью в порядке оказания услуг в соответствии с отдельным договором;</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е) требования по оснащению устройствами, обеспечивающими участие электростанций в нормированном первичном регулировании частоты и во вторичном регулировании мощности в порядке оказания услуг в соответствии с отдельным договором;</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ж) требования по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A95BF8" w:rsidRPr="008D50F2" w:rsidRDefault="00A95BF8" w:rsidP="00942A42">
      <w:pPr>
        <w:pStyle w:val="ConsPlusNormal"/>
        <w:widowControl/>
        <w:ind w:firstLine="0"/>
        <w:jc w:val="both"/>
        <w:rPr>
          <w:rFonts w:ascii="Calibri" w:hAnsi="Calibri"/>
          <w:sz w:val="18"/>
          <w:szCs w:val="18"/>
        </w:rPr>
      </w:pPr>
      <w:r w:rsidRPr="008D50F2">
        <w:rPr>
          <w:rFonts w:ascii="Calibri" w:hAnsi="Calibri"/>
          <w:sz w:val="18"/>
          <w:szCs w:val="18"/>
        </w:rPr>
        <w:t>(пп. "ж" введен Постановлением Правительства РФ от 31.08.2006 N 530)</w:t>
      </w:r>
    </w:p>
    <w:p w:rsidR="00A95BF8" w:rsidRPr="008D50F2" w:rsidRDefault="00A95BF8" w:rsidP="00942A42">
      <w:pPr>
        <w:pStyle w:val="ConsPlusNormal"/>
        <w:widowControl/>
        <w:ind w:firstLine="540"/>
        <w:jc w:val="both"/>
        <w:rPr>
          <w:rFonts w:ascii="Calibri" w:hAnsi="Calibri"/>
          <w:sz w:val="18"/>
          <w:szCs w:val="18"/>
        </w:rPr>
      </w:pPr>
    </w:p>
    <w:p w:rsidR="00A95BF8" w:rsidRPr="008D50F2" w:rsidRDefault="00A95BF8" w:rsidP="00942A42">
      <w:pPr>
        <w:pStyle w:val="ConsPlusNormal"/>
        <w:widowControl/>
        <w:ind w:firstLine="0"/>
        <w:jc w:val="center"/>
        <w:rPr>
          <w:rFonts w:ascii="Calibri" w:hAnsi="Calibri"/>
          <w:sz w:val="18"/>
          <w:szCs w:val="18"/>
        </w:rPr>
      </w:pPr>
      <w:r w:rsidRPr="008D50F2">
        <w:rPr>
          <w:rFonts w:ascii="Calibri" w:hAnsi="Calibri"/>
          <w:sz w:val="18"/>
          <w:szCs w:val="18"/>
        </w:rPr>
        <w:t>III. Критерии наличия (отсутствия) технической</w:t>
      </w:r>
    </w:p>
    <w:p w:rsidR="00A95BF8" w:rsidRPr="008D50F2" w:rsidRDefault="00A95BF8" w:rsidP="00942A42">
      <w:pPr>
        <w:pStyle w:val="ConsPlusNormal"/>
        <w:widowControl/>
        <w:ind w:firstLine="0"/>
        <w:jc w:val="center"/>
        <w:rPr>
          <w:rFonts w:ascii="Calibri" w:hAnsi="Calibri"/>
          <w:sz w:val="18"/>
          <w:szCs w:val="18"/>
        </w:rPr>
      </w:pPr>
      <w:r w:rsidRPr="008D50F2">
        <w:rPr>
          <w:rFonts w:ascii="Calibri" w:hAnsi="Calibri"/>
          <w:sz w:val="18"/>
          <w:szCs w:val="18"/>
        </w:rPr>
        <w:t>возможности технологического присоединения</w:t>
      </w:r>
    </w:p>
    <w:p w:rsidR="00A95BF8" w:rsidRPr="008D50F2" w:rsidRDefault="00A95BF8" w:rsidP="00942A42">
      <w:pPr>
        <w:pStyle w:val="ConsPlusNormal"/>
        <w:widowControl/>
        <w:ind w:firstLine="0"/>
        <w:jc w:val="center"/>
        <w:rPr>
          <w:rFonts w:ascii="Calibri" w:hAnsi="Calibri"/>
          <w:sz w:val="18"/>
          <w:szCs w:val="18"/>
        </w:rPr>
      </w:pP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15. Критериями наличия технической возможности технологического присоединения являются:</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а) нахождение энергопринимающего устройства, в отношении которого подана заявка на технологическое присоединение, в пределах территориальных границ обслуживания соответствующей сетевой организации;</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б) отсутствие ограничений на присоединенную мощность в сетевом узле, к которому надлежит произвести технологическое присоединение.</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В случае несоблюдения любого из указанных критериев техническая возможность технологического присоединения отсутствует.</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В целях проверки обоснованности установления сетевой организацией факта отсутствия технической возможности заявитель вправе обратиться в уполномоченный федеральный орган исполнительной власти по технологическому надзору для получения заключения о наличии (отсутствии) технической возможности технологического присоединения сетевой организацией.</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16. Ограничения на присоединение дополнительной мощности возникают в случае, если полное использование потребляемой (генерирующей) мощности всех ранее присоединенных потребителей услуг по передаче электрической энергии и мощности вновь присоединяемого энергопринимающего устройства может привести к загрузке энергетического оборудования сетевой организации с превышением значений, определенных техническими нормативами и стандартами, утвержденными или принятыми в порядке, установленном законодательством Российской Федерации.</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17. При наличии ограничения на присоединение новой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данному сетевому узлу потребителей электрической энергии, либо в заявленном объеме по согласованию с указанными потребителями.</w:t>
      </w:r>
    </w:p>
    <w:p w:rsidR="00A95BF8" w:rsidRDefault="00A95BF8"/>
    <w:sectPr w:rsidR="00A95BF8" w:rsidSect="004342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2A42"/>
    <w:rsid w:val="001066D4"/>
    <w:rsid w:val="00116B95"/>
    <w:rsid w:val="001C5A52"/>
    <w:rsid w:val="002F05A7"/>
    <w:rsid w:val="003464FB"/>
    <w:rsid w:val="003B5CFC"/>
    <w:rsid w:val="00417044"/>
    <w:rsid w:val="00431FCC"/>
    <w:rsid w:val="0043424D"/>
    <w:rsid w:val="00437110"/>
    <w:rsid w:val="00476B72"/>
    <w:rsid w:val="005A3A02"/>
    <w:rsid w:val="006C5BDA"/>
    <w:rsid w:val="006D46FD"/>
    <w:rsid w:val="006E55AA"/>
    <w:rsid w:val="007D236D"/>
    <w:rsid w:val="007F1D7B"/>
    <w:rsid w:val="008A2675"/>
    <w:rsid w:val="008D50F2"/>
    <w:rsid w:val="0093676B"/>
    <w:rsid w:val="00942A42"/>
    <w:rsid w:val="0096622F"/>
    <w:rsid w:val="00987D1A"/>
    <w:rsid w:val="00A95BF8"/>
    <w:rsid w:val="00B11150"/>
    <w:rsid w:val="00B16EE5"/>
    <w:rsid w:val="00B56EE2"/>
    <w:rsid w:val="00CD17B1"/>
    <w:rsid w:val="00DA7AA7"/>
    <w:rsid w:val="00ED2475"/>
    <w:rsid w:val="00F644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24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942A42"/>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942A42"/>
    <w:pPr>
      <w:widowControl w:val="0"/>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2009</Words>
  <Characters>11454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технологического присоединения к сетям ООО «МИП «Кинешма»</dc:title>
  <dc:subject/>
  <dc:creator>xName</dc:creator>
  <cp:keywords/>
  <dc:description/>
  <cp:lastModifiedBy>dmitriev</cp:lastModifiedBy>
  <cp:revision>3</cp:revision>
  <dcterms:created xsi:type="dcterms:W3CDTF">2020-11-18T11:32:00Z</dcterms:created>
  <dcterms:modified xsi:type="dcterms:W3CDTF">2021-01-14T07:33:00Z</dcterms:modified>
</cp:coreProperties>
</file>