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23" w:rsidRPr="007A464B" w:rsidRDefault="006C4623" w:rsidP="009A167A">
      <w:pPr>
        <w:pStyle w:val="ConsPlusNonformat"/>
        <w:jc w:val="center"/>
        <w:rPr>
          <w:rFonts w:ascii="Times New Roman" w:hAnsi="Times New Roman" w:cs="Times New Roman"/>
        </w:rPr>
      </w:pPr>
      <w:r w:rsidRPr="007A464B">
        <w:rPr>
          <w:rFonts w:ascii="Times New Roman" w:hAnsi="Times New Roman" w:cs="Times New Roman"/>
        </w:rPr>
        <w:t>ПАСПОРТ УСЛУГИ (ПРОЦЕССА) СЕТЕВОЙ ОРГАНИЗАЦИИ</w:t>
      </w:r>
    </w:p>
    <w:p w:rsidR="006C4623" w:rsidRPr="007A464B" w:rsidRDefault="006C4623" w:rsidP="00401A5B">
      <w:pPr>
        <w:pStyle w:val="ConsPlusNonformat"/>
        <w:jc w:val="center"/>
        <w:rPr>
          <w:rFonts w:ascii="Times New Roman" w:hAnsi="Times New Roman" w:cs="Times New Roman"/>
          <w:b/>
        </w:rPr>
      </w:pPr>
      <w:r w:rsidRPr="007A464B">
        <w:rPr>
          <w:rFonts w:ascii="Times New Roman" w:hAnsi="Times New Roman" w:cs="Times New Roman"/>
        </w:rPr>
        <w:tab/>
      </w:r>
      <w:r w:rsidRPr="007A464B">
        <w:rPr>
          <w:rFonts w:ascii="Times New Roman" w:hAnsi="Times New Roman" w:cs="Times New Roman"/>
          <w:b/>
        </w:rPr>
        <w:t>расчет объема переданной эл</w:t>
      </w:r>
      <w:r>
        <w:rPr>
          <w:rFonts w:ascii="Times New Roman" w:hAnsi="Times New Roman" w:cs="Times New Roman"/>
          <w:b/>
        </w:rPr>
        <w:t>ектрической энергии потребителю</w:t>
      </w:r>
    </w:p>
    <w:p w:rsidR="006C4623" w:rsidRDefault="006C4623" w:rsidP="009A167A">
      <w:pPr>
        <w:pStyle w:val="ConsPlusNonformat"/>
        <w:rPr>
          <w:rFonts w:ascii="Times New Roman" w:hAnsi="Times New Roman" w:cs="Times New Roman"/>
          <w:b/>
        </w:rPr>
      </w:pPr>
    </w:p>
    <w:p w:rsidR="006C4623" w:rsidRDefault="006C4623" w:rsidP="009A167A">
      <w:pPr>
        <w:pStyle w:val="ConsPlusNonformat"/>
        <w:rPr>
          <w:rFonts w:ascii="Times New Roman" w:hAnsi="Times New Roman" w:cs="Times New Roman"/>
          <w:b/>
        </w:rPr>
      </w:pPr>
    </w:p>
    <w:p w:rsidR="006C4623" w:rsidRDefault="006C4623" w:rsidP="009A167A">
      <w:pPr>
        <w:pStyle w:val="ConsPlusNonformat"/>
        <w:rPr>
          <w:rFonts w:ascii="Times New Roman" w:hAnsi="Times New Roman" w:cs="Times New Roman"/>
          <w:b/>
        </w:rPr>
      </w:pPr>
    </w:p>
    <w:p w:rsidR="006C4623" w:rsidRPr="007A464B" w:rsidRDefault="006C4623" w:rsidP="009A167A">
      <w:pPr>
        <w:pStyle w:val="ConsPlusNonformat"/>
        <w:rPr>
          <w:rFonts w:ascii="Times New Roman" w:hAnsi="Times New Roman" w:cs="Times New Roman"/>
        </w:rPr>
      </w:pPr>
      <w:r w:rsidRPr="007A464B">
        <w:rPr>
          <w:rFonts w:ascii="Times New Roman" w:hAnsi="Times New Roman" w:cs="Times New Roman"/>
          <w:b/>
        </w:rPr>
        <w:t>Круг заявителей</w:t>
      </w:r>
      <w:r w:rsidRPr="007A464B">
        <w:rPr>
          <w:rFonts w:ascii="Times New Roman" w:hAnsi="Times New Roman" w:cs="Times New Roman"/>
        </w:rPr>
        <w:t>: физические/юридические лица.</w:t>
      </w:r>
    </w:p>
    <w:p w:rsidR="006C4623" w:rsidRPr="007A464B" w:rsidRDefault="006C4623" w:rsidP="009A167A">
      <w:pPr>
        <w:pStyle w:val="ConsPlusNonformat"/>
        <w:rPr>
          <w:rFonts w:ascii="Times New Roman" w:hAnsi="Times New Roman" w:cs="Times New Roman"/>
        </w:rPr>
      </w:pPr>
      <w:r w:rsidRPr="007A464B">
        <w:rPr>
          <w:rFonts w:ascii="Times New Roman" w:hAnsi="Times New Roman" w:cs="Times New Roman"/>
          <w:b/>
        </w:rPr>
        <w:t>Размер платы за предоставление услуги (процесса) и основание ее взимания</w:t>
      </w:r>
      <w:r w:rsidRPr="007A464B">
        <w:rPr>
          <w:rFonts w:ascii="Times New Roman" w:hAnsi="Times New Roman" w:cs="Times New Roman"/>
        </w:rPr>
        <w:t>:</w:t>
      </w:r>
    </w:p>
    <w:p w:rsidR="006C4623" w:rsidRPr="007A464B" w:rsidRDefault="006C4623" w:rsidP="009A167A">
      <w:pPr>
        <w:pStyle w:val="ConsPlusNonformat"/>
        <w:rPr>
          <w:rFonts w:ascii="Times New Roman" w:hAnsi="Times New Roman" w:cs="Times New Roman"/>
        </w:rPr>
      </w:pPr>
      <w:r w:rsidRPr="007A464B">
        <w:rPr>
          <w:rFonts w:ascii="Times New Roman" w:hAnsi="Times New Roman" w:cs="Times New Roman"/>
        </w:rPr>
        <w:t>Не взимается.</w:t>
      </w:r>
      <w:bookmarkStart w:id="0" w:name="_GoBack"/>
      <w:bookmarkEnd w:id="0"/>
    </w:p>
    <w:p w:rsidR="006C4623" w:rsidRPr="007A464B" w:rsidRDefault="006C4623" w:rsidP="009A167A">
      <w:pPr>
        <w:pStyle w:val="ConsPlusNonformat"/>
        <w:rPr>
          <w:rFonts w:ascii="Times New Roman" w:hAnsi="Times New Roman" w:cs="Times New Roman"/>
        </w:rPr>
      </w:pPr>
      <w:r w:rsidRPr="007A464B">
        <w:rPr>
          <w:rFonts w:ascii="Times New Roman" w:hAnsi="Times New Roman" w:cs="Times New Roman"/>
          <w:b/>
        </w:rPr>
        <w:t>Условия оказания услуги (процесса</w:t>
      </w:r>
      <w:r w:rsidRPr="007A464B">
        <w:rPr>
          <w:rFonts w:ascii="Times New Roman" w:hAnsi="Times New Roman" w:cs="Times New Roman"/>
        </w:rPr>
        <w:t>): потребление электрической энергии.</w:t>
      </w:r>
    </w:p>
    <w:p w:rsidR="006C4623" w:rsidRPr="007A464B" w:rsidRDefault="006C4623" w:rsidP="009A167A">
      <w:pPr>
        <w:pStyle w:val="ConsPlusNonformat"/>
        <w:rPr>
          <w:rFonts w:ascii="Times New Roman" w:hAnsi="Times New Roman" w:cs="Times New Roman"/>
          <w:color w:val="FF0000"/>
        </w:rPr>
      </w:pPr>
      <w:r w:rsidRPr="007A464B">
        <w:rPr>
          <w:rFonts w:ascii="Times New Roman" w:hAnsi="Times New Roman" w:cs="Times New Roman"/>
          <w:b/>
        </w:rPr>
        <w:t>Общий срок оказания услуги (процесса)</w:t>
      </w:r>
      <w:r w:rsidRPr="007A464B">
        <w:rPr>
          <w:rFonts w:ascii="Times New Roman" w:hAnsi="Times New Roman" w:cs="Times New Roman"/>
        </w:rPr>
        <w:t>: Расчетным периодом является календарный месяц.</w:t>
      </w:r>
    </w:p>
    <w:p w:rsidR="006C4623" w:rsidRPr="007A464B" w:rsidRDefault="006C4623" w:rsidP="009A167A">
      <w:pPr>
        <w:pStyle w:val="ConsPlusNonformat"/>
        <w:rPr>
          <w:rFonts w:ascii="Times New Roman" w:hAnsi="Times New Roman" w:cs="Times New Roman"/>
        </w:rPr>
      </w:pPr>
    </w:p>
    <w:p w:rsidR="006C4623" w:rsidRPr="003E28C1" w:rsidRDefault="006C4623" w:rsidP="009A167A">
      <w:pPr>
        <w:pStyle w:val="ConsPlusNonformat"/>
        <w:rPr>
          <w:rFonts w:ascii="Times New Roman" w:hAnsi="Times New Roman" w:cs="Times New Roman"/>
          <w:b/>
        </w:rPr>
      </w:pPr>
      <w:r w:rsidRPr="003E28C1">
        <w:rPr>
          <w:rFonts w:ascii="Times New Roman" w:hAnsi="Times New Roman" w:cs="Times New Roman"/>
          <w:b/>
        </w:rPr>
        <w:t>Состав, последовательность и сроки оказания услуги (процесса)</w:t>
      </w:r>
    </w:p>
    <w:tbl>
      <w:tblPr>
        <w:tblW w:w="0" w:type="auto"/>
        <w:tblInd w:w="75" w:type="dxa"/>
        <w:tblCellMar>
          <w:left w:w="0" w:type="dxa"/>
          <w:right w:w="0" w:type="dxa"/>
        </w:tblCellMar>
        <w:tblLook w:val="00A0"/>
      </w:tblPr>
      <w:tblGrid>
        <w:gridCol w:w="509"/>
        <w:gridCol w:w="676"/>
        <w:gridCol w:w="3068"/>
        <w:gridCol w:w="2268"/>
        <w:gridCol w:w="1417"/>
        <w:gridCol w:w="1492"/>
      </w:tblGrid>
      <w:tr w:rsidR="006C4623" w:rsidRPr="00795938" w:rsidTr="007A464B">
        <w:tc>
          <w:tcPr>
            <w:tcW w:w="509"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N п/п</w:t>
            </w:r>
          </w:p>
        </w:tc>
        <w:tc>
          <w:tcPr>
            <w:tcW w:w="676"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Этап</w:t>
            </w:r>
          </w:p>
        </w:tc>
        <w:tc>
          <w:tcPr>
            <w:tcW w:w="3068"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Содержание/условия этапа</w:t>
            </w:r>
          </w:p>
        </w:tc>
        <w:tc>
          <w:tcPr>
            <w:tcW w:w="2268"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Форма предоставления</w:t>
            </w:r>
          </w:p>
        </w:tc>
        <w:tc>
          <w:tcPr>
            <w:tcW w:w="1417"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Срок исполнения</w:t>
            </w:r>
          </w:p>
        </w:tc>
        <w:tc>
          <w:tcPr>
            <w:tcW w:w="1492"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Ссылка на нормативный правовой акт</w:t>
            </w:r>
          </w:p>
        </w:tc>
      </w:tr>
      <w:tr w:rsidR="006C4623" w:rsidRPr="00795938" w:rsidTr="007A464B">
        <w:tc>
          <w:tcPr>
            <w:tcW w:w="50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1</w:t>
            </w:r>
          </w:p>
        </w:tc>
        <w:tc>
          <w:tcPr>
            <w:tcW w:w="676"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1.</w:t>
            </w:r>
          </w:p>
        </w:tc>
        <w:tc>
          <w:tcPr>
            <w:tcW w:w="3068"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rsidP="00493AD9">
            <w:pPr>
              <w:autoSpaceDE w:val="0"/>
              <w:autoSpaceDN w:val="0"/>
              <w:jc w:val="center"/>
              <w:rPr>
                <w:rFonts w:ascii="Times New Roman" w:hAnsi="Times New Roman"/>
                <w:b/>
                <w:color w:val="auto"/>
                <w:sz w:val="20"/>
                <w:szCs w:val="20"/>
              </w:rPr>
            </w:pPr>
            <w:r w:rsidRPr="00795938">
              <w:rPr>
                <w:rFonts w:ascii="Times New Roman" w:hAnsi="Times New Roman"/>
                <w:b/>
                <w:color w:val="auto"/>
                <w:sz w:val="20"/>
                <w:szCs w:val="20"/>
              </w:rPr>
              <w:t xml:space="preserve">Определение объемов переданной электроэнергии </w:t>
            </w:r>
          </w:p>
        </w:tc>
        <w:tc>
          <w:tcPr>
            <w:tcW w:w="2268"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c>
          <w:tcPr>
            <w:tcW w:w="1417"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c>
          <w:tcPr>
            <w:tcW w:w="1492"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r>
      <w:tr w:rsidR="006C4623" w:rsidRPr="00795938" w:rsidTr="007A464B">
        <w:tc>
          <w:tcPr>
            <w:tcW w:w="50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2</w:t>
            </w:r>
          </w:p>
        </w:tc>
        <w:tc>
          <w:tcPr>
            <w:tcW w:w="676"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1.1</w:t>
            </w:r>
          </w:p>
        </w:tc>
        <w:tc>
          <w:tcPr>
            <w:tcW w:w="3068"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rsidP="001834C1">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Сбор информации в части показаний приборов учета, полученных в результате дистанционного снятия показаний приборов, технических проверок и контрольных обходов, проводимых сотрудниками электрических сетей, а так же переданных потребителем или энергосбытовой организацией</w:t>
            </w:r>
            <w:r>
              <w:rPr>
                <w:rFonts w:ascii="Times New Roman" w:hAnsi="Times New Roman"/>
                <w:color w:val="auto"/>
                <w:sz w:val="20"/>
                <w:szCs w:val="20"/>
              </w:rPr>
              <w:t>.</w:t>
            </w:r>
          </w:p>
        </w:tc>
        <w:tc>
          <w:tcPr>
            <w:tcW w:w="2268"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rsidP="00DA243B">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Устные или письменные обращения (в т.ч через информационно-телекоммуникационную сеть "Интернет"), распечатки данных с приборов учета.</w:t>
            </w:r>
          </w:p>
        </w:tc>
        <w:tc>
          <w:tcPr>
            <w:tcW w:w="1417"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rsidP="00DA243B">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до 5 числа месяца, следующего за расчетным</w:t>
            </w:r>
          </w:p>
        </w:tc>
        <w:tc>
          <w:tcPr>
            <w:tcW w:w="1492"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r>
      <w:tr w:rsidR="006C4623" w:rsidRPr="00795938" w:rsidTr="003C07BB">
        <w:trPr>
          <w:trHeight w:val="2408"/>
        </w:trPr>
        <w:tc>
          <w:tcPr>
            <w:tcW w:w="50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3</w:t>
            </w:r>
          </w:p>
        </w:tc>
        <w:tc>
          <w:tcPr>
            <w:tcW w:w="676"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1.1.1</w:t>
            </w:r>
          </w:p>
        </w:tc>
        <w:tc>
          <w:tcPr>
            <w:tcW w:w="3068"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rsidP="000A6A0F">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При наличии расчетного прибора учета и представленных показаниях, расчет производится как произведение разницы между конечными и начальными показаниями расчетного прибора учета за расчетный период и коэффициента трансформации измерительных трансформаторов тока, и напряжения. В случае наличия интервального прибора учета за показания прибора учета берется сумма получасов за истекший месяц.</w:t>
            </w:r>
          </w:p>
        </w:tc>
        <w:tc>
          <w:tcPr>
            <w:tcW w:w="2268"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c>
          <w:tcPr>
            <w:tcW w:w="1417"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c>
          <w:tcPr>
            <w:tcW w:w="1492"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r>
      <w:tr w:rsidR="006C4623" w:rsidRPr="00795938" w:rsidTr="007A464B">
        <w:tc>
          <w:tcPr>
            <w:tcW w:w="50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4</w:t>
            </w:r>
          </w:p>
        </w:tc>
        <w:tc>
          <w:tcPr>
            <w:tcW w:w="676"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1.1.2</w:t>
            </w:r>
          </w:p>
        </w:tc>
        <w:tc>
          <w:tcPr>
            <w:tcW w:w="3068"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rsidP="000A6A0F">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В случае если прибор учета установлен не на границе балансовой принадлежности сетевой организации и Потребителя объем переданной электроэнергии Потребителям корректируется на величину потерь электроэнергии на участке сети от границы балансовой принадлежности до места установки прибора учета.</w:t>
            </w:r>
          </w:p>
        </w:tc>
        <w:tc>
          <w:tcPr>
            <w:tcW w:w="2268"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c>
          <w:tcPr>
            <w:tcW w:w="1417"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c>
          <w:tcPr>
            <w:tcW w:w="1492"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r>
      <w:tr w:rsidR="006C4623" w:rsidRPr="00795938" w:rsidTr="007A464B">
        <w:tc>
          <w:tcPr>
            <w:tcW w:w="509"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5</w:t>
            </w:r>
          </w:p>
        </w:tc>
        <w:tc>
          <w:tcPr>
            <w:tcW w:w="676"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1.1.3</w:t>
            </w:r>
          </w:p>
        </w:tc>
        <w:tc>
          <w:tcPr>
            <w:tcW w:w="3068"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rsidP="005036BA">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При наличии прибора учета в жилом и нежилом помещениях физических лиц и отсутствия показаний индивидуального, общего (квартирного), комнатного прибора учета за расчетный период объем потребленной электроэнергии определяется по расчетному среднемесячному потреблению.</w:t>
            </w:r>
          </w:p>
        </w:tc>
        <w:tc>
          <w:tcPr>
            <w:tcW w:w="2268"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c>
          <w:tcPr>
            <w:tcW w:w="1417"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Не более 6 расчетных периодов подряд</w:t>
            </w:r>
          </w:p>
        </w:tc>
        <w:tc>
          <w:tcPr>
            <w:tcW w:w="1492" w:type="dxa"/>
            <w:tcBorders>
              <w:top w:val="nil"/>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r>
      <w:tr w:rsidR="006C4623" w:rsidRPr="00795938" w:rsidTr="007A464B">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692961">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6</w:t>
            </w:r>
          </w:p>
        </w:tc>
        <w:tc>
          <w:tcPr>
            <w:tcW w:w="67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692961">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1.1.4</w:t>
            </w:r>
          </w:p>
        </w:tc>
        <w:tc>
          <w:tcPr>
            <w:tcW w:w="30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3C07BB">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По истечении 6 месяцев с момента непредставления потребителем показаний</w:t>
            </w:r>
          </w:p>
          <w:p w:rsidR="006C4623" w:rsidRPr="00795938" w:rsidRDefault="006C4623" w:rsidP="00455E95">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индивидуального, общего (квартирного), комнатного прибора учета расчет потребленной электроэнергии потребителем производится как произведение количество граждан, постоянно и временно проживающих в жилом помещении на норматив потребления электроэнергии, установленный в соответствии с жилищным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c>
          <w:tcPr>
            <w:tcW w:w="14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r>
      <w:tr w:rsidR="006C4623" w:rsidRPr="00795938" w:rsidTr="007A464B">
        <w:tc>
          <w:tcPr>
            <w:tcW w:w="509"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7</w:t>
            </w:r>
          </w:p>
        </w:tc>
        <w:tc>
          <w:tcPr>
            <w:tcW w:w="676"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1.1.5</w:t>
            </w:r>
          </w:p>
        </w:tc>
        <w:tc>
          <w:tcPr>
            <w:tcW w:w="306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6C4623" w:rsidRPr="00795938" w:rsidRDefault="006C4623" w:rsidP="00811F02">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При наличии расчетного прибора учета и не представлении расчетных показаний юридическим лицом, расчет за переданную электроэнергию, за которые не предоставлены показания расчетного прибора учета, объем потребления электрической энергии определяются исходя из показаний расчетного прибора учета за аналогичный расчетный период предыдущего года</w:t>
            </w:r>
          </w:p>
          <w:p w:rsidR="006C4623" w:rsidRPr="00795938" w:rsidRDefault="006C4623" w:rsidP="00811F02">
            <w:pPr>
              <w:autoSpaceDE w:val="0"/>
              <w:autoSpaceDN w:val="0"/>
              <w:jc w:val="center"/>
              <w:rPr>
                <w:rFonts w:ascii="Times New Roman" w:hAnsi="Times New Roman"/>
                <w:color w:val="auto"/>
                <w:sz w:val="20"/>
                <w:szCs w:val="20"/>
              </w:rPr>
            </w:pPr>
          </w:p>
        </w:tc>
        <w:tc>
          <w:tcPr>
            <w:tcW w:w="226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c>
          <w:tcPr>
            <w:tcW w:w="1417"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6C4623" w:rsidRPr="00795938" w:rsidRDefault="006C4623" w:rsidP="007A464B">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Для 1-го и 2-го расчетных периодов подряд</w:t>
            </w:r>
          </w:p>
        </w:tc>
        <w:tc>
          <w:tcPr>
            <w:tcW w:w="1492"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r>
      <w:tr w:rsidR="006C4623" w:rsidRPr="00795938" w:rsidTr="007A464B">
        <w:tc>
          <w:tcPr>
            <w:tcW w:w="509" w:type="dxa"/>
            <w:tcBorders>
              <w:top w:val="nil"/>
              <w:left w:val="single" w:sz="8" w:space="0" w:color="auto"/>
              <w:bottom w:val="single" w:sz="4"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8</w:t>
            </w:r>
          </w:p>
        </w:tc>
        <w:tc>
          <w:tcPr>
            <w:tcW w:w="676" w:type="dxa"/>
            <w:tcBorders>
              <w:top w:val="nil"/>
              <w:left w:val="nil"/>
              <w:bottom w:val="single" w:sz="4"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1.1.6</w:t>
            </w:r>
          </w:p>
        </w:tc>
        <w:tc>
          <w:tcPr>
            <w:tcW w:w="3068" w:type="dxa"/>
            <w:tcBorders>
              <w:top w:val="nil"/>
              <w:left w:val="nil"/>
              <w:bottom w:val="single" w:sz="4" w:space="0" w:color="auto"/>
              <w:right w:val="single" w:sz="8" w:space="0" w:color="auto"/>
            </w:tcBorders>
            <w:tcMar>
              <w:top w:w="0" w:type="dxa"/>
              <w:left w:w="75" w:type="dxa"/>
              <w:bottom w:w="0" w:type="dxa"/>
              <w:right w:w="75" w:type="dxa"/>
            </w:tcMar>
          </w:tcPr>
          <w:p w:rsidR="006C4623" w:rsidRPr="00795938" w:rsidRDefault="006C4623" w:rsidP="007A464B">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для 3-го и последующих расчетных периодов, за которые не предоставлены показания расчетного прибора учета, объем потребления электрической энергии определяется как произведение максимальной мощности энергопринимающих устройств, относящаяся к соответствующей точке поставки на количество часов использования оборудования в расчетном периоде</w:t>
            </w:r>
          </w:p>
        </w:tc>
        <w:tc>
          <w:tcPr>
            <w:tcW w:w="2268" w:type="dxa"/>
            <w:tcBorders>
              <w:top w:val="nil"/>
              <w:left w:val="nil"/>
              <w:bottom w:val="single" w:sz="4"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c>
          <w:tcPr>
            <w:tcW w:w="1417" w:type="dxa"/>
            <w:tcBorders>
              <w:top w:val="nil"/>
              <w:left w:val="nil"/>
              <w:bottom w:val="single" w:sz="4"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c>
          <w:tcPr>
            <w:tcW w:w="1492" w:type="dxa"/>
            <w:tcBorders>
              <w:top w:val="nil"/>
              <w:left w:val="nil"/>
              <w:bottom w:val="single" w:sz="4"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r>
      <w:tr w:rsidR="006C4623" w:rsidRPr="00795938" w:rsidTr="007A464B">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9</w:t>
            </w:r>
          </w:p>
        </w:tc>
        <w:tc>
          <w:tcPr>
            <w:tcW w:w="67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1.1.7</w:t>
            </w:r>
          </w:p>
        </w:tc>
        <w:tc>
          <w:tcPr>
            <w:tcW w:w="30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FB290C">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При отсутствии данных в договоре энергоснабжения о величине максимальной мощности энергопринимающих устройств объем потребления электрической энергии определяется исходя из величины допустимой длительной токовой нагрузки каждого вводного провода</w:t>
            </w:r>
          </w:p>
        </w:tc>
        <w:tc>
          <w:tcPr>
            <w:tcW w:w="22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c>
          <w:tcPr>
            <w:tcW w:w="14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r>
      <w:tr w:rsidR="006C4623" w:rsidRPr="00795938" w:rsidTr="007A464B">
        <w:tc>
          <w:tcPr>
            <w:tcW w:w="509" w:type="dxa"/>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10</w:t>
            </w:r>
          </w:p>
        </w:tc>
        <w:tc>
          <w:tcPr>
            <w:tcW w:w="676"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1.2</w:t>
            </w:r>
          </w:p>
        </w:tc>
        <w:tc>
          <w:tcPr>
            <w:tcW w:w="306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6C4623" w:rsidRPr="005B1F9E" w:rsidRDefault="006C4623" w:rsidP="001834C1">
            <w:pPr>
              <w:autoSpaceDE w:val="0"/>
              <w:autoSpaceDN w:val="0"/>
              <w:jc w:val="center"/>
              <w:rPr>
                <w:rFonts w:ascii="Times New Roman" w:hAnsi="Times New Roman"/>
                <w:color w:val="auto"/>
                <w:sz w:val="20"/>
                <w:szCs w:val="20"/>
              </w:rPr>
            </w:pPr>
            <w:r w:rsidRPr="005B1F9E">
              <w:rPr>
                <w:rFonts w:ascii="Times New Roman" w:hAnsi="Times New Roman"/>
                <w:color w:val="auto"/>
                <w:sz w:val="20"/>
                <w:szCs w:val="20"/>
              </w:rPr>
              <w:t>Расчет по актам безучетного потребления, составленных сотрудниками сетевой организации</w:t>
            </w:r>
          </w:p>
        </w:tc>
        <w:tc>
          <w:tcPr>
            <w:tcW w:w="2268"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c>
          <w:tcPr>
            <w:tcW w:w="1417"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до 5 числа месяца, следующего за расчетным</w:t>
            </w:r>
          </w:p>
        </w:tc>
        <w:tc>
          <w:tcPr>
            <w:tcW w:w="1492" w:type="dxa"/>
            <w:tcBorders>
              <w:top w:val="single" w:sz="4" w:space="0" w:color="auto"/>
              <w:left w:val="nil"/>
              <w:bottom w:val="single" w:sz="8" w:space="0" w:color="auto"/>
              <w:right w:val="single" w:sz="8" w:space="0" w:color="auto"/>
            </w:tcBorders>
            <w:tcMar>
              <w:top w:w="0" w:type="dxa"/>
              <w:left w:w="75" w:type="dxa"/>
              <w:bottom w:w="0" w:type="dxa"/>
              <w:right w:w="75" w:type="dxa"/>
            </w:tcMar>
          </w:tcPr>
          <w:p w:rsidR="006C4623" w:rsidRPr="00795938" w:rsidRDefault="006C4623">
            <w:pPr>
              <w:autoSpaceDE w:val="0"/>
              <w:autoSpaceDN w:val="0"/>
              <w:jc w:val="center"/>
              <w:rPr>
                <w:rFonts w:ascii="Times New Roman" w:hAnsi="Times New Roman"/>
                <w:color w:val="auto"/>
                <w:sz w:val="20"/>
                <w:szCs w:val="20"/>
              </w:rPr>
            </w:pPr>
          </w:p>
        </w:tc>
      </w:tr>
      <w:tr w:rsidR="006C4623" w:rsidRPr="00795938" w:rsidTr="007A464B">
        <w:tc>
          <w:tcPr>
            <w:tcW w:w="509" w:type="dxa"/>
            <w:tcBorders>
              <w:top w:val="nil"/>
              <w:left w:val="single" w:sz="8" w:space="0" w:color="auto"/>
              <w:bottom w:val="single" w:sz="4" w:space="0" w:color="auto"/>
              <w:right w:val="single" w:sz="8"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11</w:t>
            </w:r>
          </w:p>
        </w:tc>
        <w:tc>
          <w:tcPr>
            <w:tcW w:w="676" w:type="dxa"/>
            <w:tcBorders>
              <w:top w:val="nil"/>
              <w:left w:val="nil"/>
              <w:bottom w:val="single" w:sz="4" w:space="0" w:color="auto"/>
              <w:right w:val="single" w:sz="8"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1.2.1</w:t>
            </w:r>
          </w:p>
        </w:tc>
        <w:tc>
          <w:tcPr>
            <w:tcW w:w="3068" w:type="dxa"/>
            <w:tcBorders>
              <w:top w:val="nil"/>
              <w:left w:val="nil"/>
              <w:bottom w:val="single" w:sz="4" w:space="0" w:color="auto"/>
              <w:right w:val="single" w:sz="8" w:space="0" w:color="auto"/>
            </w:tcBorders>
            <w:tcMar>
              <w:top w:w="0" w:type="dxa"/>
              <w:left w:w="75" w:type="dxa"/>
              <w:bottom w:w="0" w:type="dxa"/>
              <w:right w:w="75" w:type="dxa"/>
            </w:tcMar>
          </w:tcPr>
          <w:p w:rsidR="006C4623" w:rsidRPr="00795938" w:rsidRDefault="006C4623" w:rsidP="00AD6973">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При выявлении фактов безучетного потребления производится доначисление объема потребления по акту доначислений (безучетного потребления) в размере указанном в данном акте</w:t>
            </w:r>
          </w:p>
          <w:p w:rsidR="006C4623" w:rsidRPr="00795938" w:rsidRDefault="006C4623" w:rsidP="00AD6973">
            <w:pPr>
              <w:autoSpaceDE w:val="0"/>
              <w:autoSpaceDN w:val="0"/>
              <w:jc w:val="center"/>
              <w:rPr>
                <w:rFonts w:ascii="Times New Roman" w:hAnsi="Times New Roman"/>
                <w:color w:val="auto"/>
                <w:sz w:val="20"/>
                <w:szCs w:val="20"/>
              </w:rPr>
            </w:pPr>
          </w:p>
        </w:tc>
        <w:tc>
          <w:tcPr>
            <w:tcW w:w="2268" w:type="dxa"/>
            <w:tcBorders>
              <w:top w:val="nil"/>
              <w:left w:val="nil"/>
              <w:bottom w:val="single" w:sz="4" w:space="0" w:color="auto"/>
              <w:right w:val="single" w:sz="8"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p>
        </w:tc>
        <w:tc>
          <w:tcPr>
            <w:tcW w:w="1417" w:type="dxa"/>
            <w:tcBorders>
              <w:top w:val="nil"/>
              <w:left w:val="nil"/>
              <w:bottom w:val="single" w:sz="4" w:space="0" w:color="auto"/>
              <w:right w:val="single" w:sz="8"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p>
        </w:tc>
        <w:tc>
          <w:tcPr>
            <w:tcW w:w="1492" w:type="dxa"/>
            <w:tcBorders>
              <w:top w:val="nil"/>
              <w:left w:val="nil"/>
              <w:bottom w:val="single" w:sz="4" w:space="0" w:color="auto"/>
              <w:right w:val="single" w:sz="8"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p>
        </w:tc>
      </w:tr>
      <w:tr w:rsidR="006C4623" w:rsidRPr="00795938" w:rsidTr="007A464B">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493AD9">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12</w:t>
            </w:r>
          </w:p>
        </w:tc>
        <w:tc>
          <w:tcPr>
            <w:tcW w:w="67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2</w:t>
            </w:r>
          </w:p>
        </w:tc>
        <w:tc>
          <w:tcPr>
            <w:tcW w:w="30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5B1F9E" w:rsidRDefault="006C4623" w:rsidP="00493AD9">
            <w:pPr>
              <w:autoSpaceDE w:val="0"/>
              <w:autoSpaceDN w:val="0"/>
              <w:jc w:val="center"/>
              <w:rPr>
                <w:rFonts w:ascii="Times New Roman" w:hAnsi="Times New Roman"/>
                <w:b/>
                <w:color w:val="auto"/>
                <w:sz w:val="20"/>
                <w:szCs w:val="20"/>
              </w:rPr>
            </w:pPr>
            <w:r w:rsidRPr="005B1F9E">
              <w:rPr>
                <w:rFonts w:ascii="Times New Roman" w:hAnsi="Times New Roman"/>
                <w:b/>
                <w:color w:val="auto"/>
                <w:sz w:val="20"/>
                <w:szCs w:val="20"/>
              </w:rPr>
              <w:t>Согласование объемов электроэнергии, переданной потребителям</w:t>
            </w:r>
          </w:p>
        </w:tc>
        <w:tc>
          <w:tcPr>
            <w:tcW w:w="22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p>
        </w:tc>
        <w:tc>
          <w:tcPr>
            <w:tcW w:w="14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p>
        </w:tc>
      </w:tr>
      <w:tr w:rsidR="006C4623" w:rsidRPr="00795938" w:rsidTr="007A464B">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p>
        </w:tc>
        <w:tc>
          <w:tcPr>
            <w:tcW w:w="67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r>
              <w:rPr>
                <w:rFonts w:ascii="Times New Roman" w:hAnsi="Times New Roman"/>
                <w:color w:val="auto"/>
                <w:sz w:val="20"/>
                <w:szCs w:val="20"/>
              </w:rPr>
              <w:t>2.1</w:t>
            </w:r>
          </w:p>
        </w:tc>
        <w:tc>
          <w:tcPr>
            <w:tcW w:w="30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5B1F9E" w:rsidRDefault="006C4623" w:rsidP="009B777C">
            <w:pPr>
              <w:autoSpaceDE w:val="0"/>
              <w:autoSpaceDN w:val="0"/>
              <w:jc w:val="center"/>
              <w:rPr>
                <w:rFonts w:ascii="Times New Roman" w:hAnsi="Times New Roman"/>
                <w:color w:val="auto"/>
                <w:sz w:val="20"/>
                <w:szCs w:val="20"/>
              </w:rPr>
            </w:pPr>
            <w:r w:rsidRPr="005B1F9E">
              <w:rPr>
                <w:rFonts w:ascii="Times New Roman" w:hAnsi="Times New Roman"/>
                <w:color w:val="auto"/>
                <w:sz w:val="20"/>
                <w:szCs w:val="20"/>
              </w:rPr>
              <w:t>Согласование с энергосбытовой организацией реестра объемов электроэнергии, переданной потребителям, определенных согласно этапа 1</w:t>
            </w:r>
          </w:p>
        </w:tc>
        <w:tc>
          <w:tcPr>
            <w:tcW w:w="22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9B777C">
            <w:pPr>
              <w:autoSpaceDE w:val="0"/>
              <w:autoSpaceDN w:val="0"/>
              <w:jc w:val="center"/>
              <w:rPr>
                <w:rFonts w:ascii="Times New Roman" w:hAnsi="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9B777C">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до 10 числа месяца, следующего за расчетным</w:t>
            </w:r>
          </w:p>
        </w:tc>
        <w:tc>
          <w:tcPr>
            <w:tcW w:w="14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p>
        </w:tc>
      </w:tr>
      <w:tr w:rsidR="006C4623" w:rsidRPr="00795938" w:rsidTr="007A464B">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p>
        </w:tc>
        <w:tc>
          <w:tcPr>
            <w:tcW w:w="67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r>
              <w:rPr>
                <w:rFonts w:ascii="Times New Roman" w:hAnsi="Times New Roman"/>
                <w:color w:val="auto"/>
                <w:sz w:val="20"/>
                <w:szCs w:val="20"/>
              </w:rPr>
              <w:t>2.2</w:t>
            </w:r>
          </w:p>
        </w:tc>
        <w:tc>
          <w:tcPr>
            <w:tcW w:w="30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C368A1">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 xml:space="preserve">Согласование с </w:t>
            </w:r>
            <w:r>
              <w:rPr>
                <w:rFonts w:ascii="Times New Roman" w:hAnsi="Times New Roman"/>
                <w:color w:val="auto"/>
                <w:sz w:val="20"/>
                <w:szCs w:val="20"/>
              </w:rPr>
              <w:t>энергосбытовой организацией</w:t>
            </w:r>
            <w:r w:rsidRPr="00795938">
              <w:rPr>
                <w:rFonts w:ascii="Times New Roman" w:hAnsi="Times New Roman"/>
                <w:color w:val="auto"/>
                <w:sz w:val="20"/>
                <w:szCs w:val="20"/>
              </w:rPr>
              <w:t xml:space="preserve"> </w:t>
            </w:r>
            <w:r>
              <w:rPr>
                <w:rFonts w:ascii="Times New Roman" w:hAnsi="Times New Roman"/>
                <w:color w:val="auto"/>
                <w:sz w:val="20"/>
                <w:szCs w:val="20"/>
              </w:rPr>
              <w:t>величины потерь в сетях сетевой организации</w:t>
            </w:r>
            <w:r w:rsidRPr="00795938">
              <w:rPr>
                <w:rFonts w:ascii="Times New Roman" w:hAnsi="Times New Roman"/>
                <w:color w:val="auto"/>
                <w:sz w:val="20"/>
                <w:szCs w:val="20"/>
              </w:rPr>
              <w:t>, для определения объема услуг по передаче</w:t>
            </w:r>
          </w:p>
        </w:tc>
        <w:tc>
          <w:tcPr>
            <w:tcW w:w="22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C368A1">
            <w:pPr>
              <w:autoSpaceDE w:val="0"/>
              <w:autoSpaceDN w:val="0"/>
              <w:jc w:val="center"/>
              <w:rPr>
                <w:rFonts w:ascii="Times New Roman" w:hAnsi="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C368A1">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до 10 числа месяца, следующего за расчетным</w:t>
            </w:r>
          </w:p>
        </w:tc>
        <w:tc>
          <w:tcPr>
            <w:tcW w:w="14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p>
        </w:tc>
      </w:tr>
      <w:tr w:rsidR="006C4623" w:rsidRPr="00795938" w:rsidTr="007A464B">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p>
        </w:tc>
        <w:tc>
          <w:tcPr>
            <w:tcW w:w="67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r>
              <w:rPr>
                <w:rFonts w:ascii="Times New Roman" w:hAnsi="Times New Roman"/>
                <w:color w:val="auto"/>
                <w:sz w:val="20"/>
                <w:szCs w:val="20"/>
              </w:rPr>
              <w:t>2.3</w:t>
            </w:r>
          </w:p>
        </w:tc>
        <w:tc>
          <w:tcPr>
            <w:tcW w:w="30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C368A1">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 xml:space="preserve">Согласование с </w:t>
            </w:r>
            <w:r>
              <w:rPr>
                <w:rFonts w:ascii="Times New Roman" w:hAnsi="Times New Roman"/>
                <w:color w:val="auto"/>
                <w:sz w:val="20"/>
                <w:szCs w:val="20"/>
              </w:rPr>
              <w:t>Ф</w:t>
            </w:r>
            <w:r w:rsidRPr="00795938">
              <w:rPr>
                <w:rFonts w:ascii="Times New Roman" w:hAnsi="Times New Roman"/>
                <w:color w:val="auto"/>
                <w:sz w:val="20"/>
                <w:szCs w:val="20"/>
              </w:rPr>
              <w:t>едеральной сетевой компанией объемов электроэнергии, переданной потребителям для определения объема услуг по передаче</w:t>
            </w:r>
          </w:p>
        </w:tc>
        <w:tc>
          <w:tcPr>
            <w:tcW w:w="22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C368A1">
            <w:pPr>
              <w:autoSpaceDE w:val="0"/>
              <w:autoSpaceDN w:val="0"/>
              <w:jc w:val="center"/>
              <w:rPr>
                <w:rFonts w:ascii="Times New Roman" w:hAnsi="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C368A1">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до 10 числа месяца, следующего за расчетным</w:t>
            </w:r>
          </w:p>
        </w:tc>
        <w:tc>
          <w:tcPr>
            <w:tcW w:w="14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p>
        </w:tc>
      </w:tr>
      <w:tr w:rsidR="006C4623" w:rsidRPr="00795938" w:rsidTr="007A464B">
        <w:tc>
          <w:tcPr>
            <w:tcW w:w="509"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13</w:t>
            </w:r>
          </w:p>
        </w:tc>
        <w:tc>
          <w:tcPr>
            <w:tcW w:w="67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3</w:t>
            </w:r>
          </w:p>
        </w:tc>
        <w:tc>
          <w:tcPr>
            <w:tcW w:w="30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5B1F9E" w:rsidRDefault="006C4623" w:rsidP="00EE0545">
            <w:pPr>
              <w:autoSpaceDE w:val="0"/>
              <w:autoSpaceDN w:val="0"/>
              <w:jc w:val="center"/>
              <w:rPr>
                <w:rFonts w:ascii="Times New Roman" w:hAnsi="Times New Roman"/>
                <w:b/>
                <w:color w:val="auto"/>
                <w:sz w:val="20"/>
                <w:szCs w:val="20"/>
              </w:rPr>
            </w:pPr>
            <w:r w:rsidRPr="005B1F9E">
              <w:rPr>
                <w:rFonts w:ascii="Times New Roman" w:hAnsi="Times New Roman"/>
                <w:b/>
                <w:color w:val="auto"/>
                <w:sz w:val="20"/>
                <w:szCs w:val="20"/>
              </w:rPr>
              <w:t>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tc>
        <w:tc>
          <w:tcPr>
            <w:tcW w:w="226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r w:rsidRPr="00795938">
              <w:rPr>
                <w:rFonts w:ascii="Times New Roman" w:hAnsi="Times New Roman"/>
                <w:color w:val="auto"/>
                <w:sz w:val="20"/>
                <w:szCs w:val="20"/>
              </w:rPr>
              <w:t>не позднее 10-го числа месяца следующего за расчетным периодом</w:t>
            </w:r>
          </w:p>
        </w:tc>
        <w:tc>
          <w:tcPr>
            <w:tcW w:w="14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6C4623" w:rsidRPr="00795938" w:rsidRDefault="006C4623" w:rsidP="00EE0545">
            <w:pPr>
              <w:autoSpaceDE w:val="0"/>
              <w:autoSpaceDN w:val="0"/>
              <w:jc w:val="center"/>
              <w:rPr>
                <w:rFonts w:ascii="Times New Roman" w:hAnsi="Times New Roman"/>
                <w:color w:val="auto"/>
                <w:sz w:val="20"/>
                <w:szCs w:val="20"/>
              </w:rPr>
            </w:pPr>
          </w:p>
        </w:tc>
      </w:tr>
    </w:tbl>
    <w:p w:rsidR="006C4623" w:rsidRDefault="006C4623" w:rsidP="009A167A">
      <w:pPr>
        <w:autoSpaceDE w:val="0"/>
        <w:autoSpaceDN w:val="0"/>
        <w:jc w:val="both"/>
        <w:rPr>
          <w:rFonts w:ascii="Calibri" w:hAnsi="Calibri" w:cs="Calibri"/>
          <w:sz w:val="22"/>
          <w:szCs w:val="22"/>
        </w:rPr>
      </w:pPr>
    </w:p>
    <w:p w:rsidR="006C4623" w:rsidRPr="007A464B" w:rsidRDefault="006C4623" w:rsidP="009A167A">
      <w:pPr>
        <w:pStyle w:val="ConsPlusNonformat"/>
        <w:rPr>
          <w:rFonts w:ascii="Times New Roman" w:hAnsi="Times New Roman" w:cs="Times New Roman"/>
        </w:rPr>
      </w:pPr>
      <w:r w:rsidRPr="007A464B">
        <w:rPr>
          <w:rFonts w:ascii="Times New Roman" w:hAnsi="Times New Roman" w:cs="Times New Roman"/>
        </w:rPr>
        <w:t>Контактная информация для направления обращений:</w:t>
      </w:r>
    </w:p>
    <w:p w:rsidR="006C4623" w:rsidRPr="00E9261B" w:rsidRDefault="006C4623" w:rsidP="00285766">
      <w:pPr>
        <w:pStyle w:val="BodyText"/>
        <w:rPr>
          <w:i/>
          <w:sz w:val="24"/>
          <w:szCs w:val="24"/>
        </w:rPr>
      </w:pPr>
      <w:r w:rsidRPr="00E9261B">
        <w:rPr>
          <w:i/>
          <w:sz w:val="24"/>
          <w:szCs w:val="24"/>
        </w:rPr>
        <w:t xml:space="preserve">Официальный сайт: </w:t>
      </w:r>
      <w:r w:rsidRPr="00E9261B">
        <w:rPr>
          <w:i/>
          <w:sz w:val="24"/>
          <w:szCs w:val="24"/>
          <w:lang w:val="en-US"/>
        </w:rPr>
        <w:t>www</w:t>
      </w:r>
      <w:r w:rsidRPr="00E9261B">
        <w:rPr>
          <w:i/>
          <w:sz w:val="24"/>
          <w:szCs w:val="24"/>
        </w:rPr>
        <w:t>.</w:t>
      </w:r>
      <w:r w:rsidRPr="00E9261B">
        <w:rPr>
          <w:i/>
          <w:sz w:val="24"/>
          <w:szCs w:val="24"/>
          <w:lang w:val="en-US"/>
        </w:rPr>
        <w:t>kinges</w:t>
      </w:r>
      <w:r w:rsidRPr="00E9261B">
        <w:rPr>
          <w:i/>
          <w:sz w:val="24"/>
          <w:szCs w:val="24"/>
        </w:rPr>
        <w:t>.</w:t>
      </w:r>
      <w:r w:rsidRPr="00E9261B">
        <w:rPr>
          <w:i/>
          <w:sz w:val="24"/>
          <w:szCs w:val="24"/>
          <w:lang w:val="en-US"/>
        </w:rPr>
        <w:t>ru</w:t>
      </w:r>
    </w:p>
    <w:p w:rsidR="006C4623" w:rsidRPr="00850429" w:rsidRDefault="006C4623" w:rsidP="00795938">
      <w:pPr>
        <w:autoSpaceDE w:val="0"/>
        <w:autoSpaceDN w:val="0"/>
        <w:adjustRightInd w:val="0"/>
        <w:spacing w:after="60"/>
        <w:jc w:val="both"/>
      </w:pPr>
      <w:r w:rsidRPr="00850429">
        <w:rPr>
          <w:i/>
        </w:rPr>
        <w:t>Факс секретаря:</w:t>
      </w:r>
      <w:r w:rsidRPr="00850429">
        <w:rPr>
          <w:i/>
        </w:rPr>
        <w:tab/>
      </w:r>
      <w:r w:rsidRPr="00850429">
        <w:rPr>
          <w:i/>
        </w:rPr>
        <w:tab/>
        <w:t>(-49331-)</w:t>
      </w:r>
      <w:r w:rsidRPr="005949E4">
        <w:t>75-2</w:t>
      </w:r>
      <w:r w:rsidRPr="00850429">
        <w:t>-</w:t>
      </w:r>
      <w:r w:rsidRPr="005949E4">
        <w:t>9</w:t>
      </w:r>
      <w:r w:rsidRPr="00850429">
        <w:t>7</w:t>
      </w:r>
    </w:p>
    <w:p w:rsidR="006C4623" w:rsidRPr="00850429" w:rsidRDefault="006C4623" w:rsidP="00795938">
      <w:pPr>
        <w:pStyle w:val="BodyText"/>
        <w:rPr>
          <w:i/>
          <w:sz w:val="24"/>
          <w:szCs w:val="24"/>
        </w:rPr>
      </w:pPr>
      <w:r w:rsidRPr="00E9261B">
        <w:rPr>
          <w:sz w:val="24"/>
          <w:szCs w:val="24"/>
          <w:lang w:val="en-US"/>
        </w:rPr>
        <w:t>E</w:t>
      </w:r>
      <w:r w:rsidRPr="00850429">
        <w:rPr>
          <w:sz w:val="24"/>
          <w:szCs w:val="24"/>
        </w:rPr>
        <w:t>-</w:t>
      </w:r>
      <w:r w:rsidRPr="00E9261B">
        <w:rPr>
          <w:sz w:val="24"/>
          <w:szCs w:val="24"/>
          <w:lang w:val="en-US"/>
        </w:rPr>
        <w:t>mail</w:t>
      </w:r>
      <w:r w:rsidRPr="00850429">
        <w:rPr>
          <w:sz w:val="24"/>
          <w:szCs w:val="24"/>
        </w:rPr>
        <w:t xml:space="preserve">: </w:t>
      </w:r>
      <w:hyperlink r:id="rId4" w:history="1">
        <w:r w:rsidRPr="0065639D">
          <w:rPr>
            <w:rStyle w:val="Hyperlink"/>
            <w:sz w:val="24"/>
            <w:szCs w:val="24"/>
            <w:lang w:val="en-US"/>
          </w:rPr>
          <w:t>dmitriev</w:t>
        </w:r>
        <w:r w:rsidRPr="00850429">
          <w:rPr>
            <w:rStyle w:val="Hyperlink"/>
            <w:sz w:val="24"/>
            <w:szCs w:val="24"/>
          </w:rPr>
          <w:t>@</w:t>
        </w:r>
        <w:r w:rsidRPr="0065639D">
          <w:rPr>
            <w:rStyle w:val="Hyperlink"/>
            <w:sz w:val="24"/>
            <w:szCs w:val="24"/>
            <w:lang w:val="en-US"/>
          </w:rPr>
          <w:t>kineshma</w:t>
        </w:r>
        <w:r w:rsidRPr="00850429">
          <w:rPr>
            <w:rStyle w:val="Hyperlink"/>
            <w:sz w:val="24"/>
            <w:szCs w:val="24"/>
          </w:rPr>
          <w:t>.</w:t>
        </w:r>
        <w:r w:rsidRPr="0065639D">
          <w:rPr>
            <w:rStyle w:val="Hyperlink"/>
            <w:sz w:val="24"/>
            <w:szCs w:val="24"/>
            <w:lang w:val="en-US"/>
          </w:rPr>
          <w:t>ru</w:t>
        </w:r>
      </w:hyperlink>
      <w:r w:rsidRPr="00850429">
        <w:rPr>
          <w:sz w:val="24"/>
          <w:szCs w:val="24"/>
        </w:rPr>
        <w:t xml:space="preserve">  ( </w:t>
      </w:r>
      <w:hyperlink r:id="rId5" w:history="1">
        <w:r w:rsidRPr="0065639D">
          <w:rPr>
            <w:rStyle w:val="Hyperlink"/>
            <w:sz w:val="24"/>
            <w:szCs w:val="24"/>
            <w:lang w:val="en-US"/>
          </w:rPr>
          <w:t>kineshma</w:t>
        </w:r>
        <w:r w:rsidRPr="00850429">
          <w:rPr>
            <w:rStyle w:val="Hyperlink"/>
            <w:sz w:val="24"/>
            <w:szCs w:val="24"/>
          </w:rPr>
          <w:t>@</w:t>
        </w:r>
        <w:r w:rsidRPr="0065639D">
          <w:rPr>
            <w:rStyle w:val="Hyperlink"/>
            <w:sz w:val="24"/>
            <w:szCs w:val="24"/>
            <w:lang w:val="en-US"/>
          </w:rPr>
          <w:t>inbox</w:t>
        </w:r>
        <w:r w:rsidRPr="00850429">
          <w:rPr>
            <w:rStyle w:val="Hyperlink"/>
            <w:sz w:val="24"/>
            <w:szCs w:val="24"/>
          </w:rPr>
          <w:t>.</w:t>
        </w:r>
        <w:r w:rsidRPr="0065639D">
          <w:rPr>
            <w:rStyle w:val="Hyperlink"/>
            <w:sz w:val="24"/>
            <w:szCs w:val="24"/>
            <w:lang w:val="en-US"/>
          </w:rPr>
          <w:t>ru</w:t>
        </w:r>
      </w:hyperlink>
      <w:r w:rsidRPr="00850429">
        <w:rPr>
          <w:sz w:val="24"/>
          <w:szCs w:val="24"/>
        </w:rPr>
        <w:t xml:space="preserve"> </w:t>
      </w:r>
      <w:r w:rsidRPr="00850429">
        <w:rPr>
          <w:i/>
          <w:sz w:val="24"/>
          <w:szCs w:val="24"/>
        </w:rPr>
        <w:t xml:space="preserve">)     </w:t>
      </w:r>
    </w:p>
    <w:p w:rsidR="006C4623" w:rsidRPr="005E5444" w:rsidRDefault="006C4623" w:rsidP="00795938">
      <w:pPr>
        <w:rPr>
          <w:i/>
          <w:color w:val="FF0000"/>
        </w:rPr>
      </w:pPr>
    </w:p>
    <w:p w:rsidR="006C4623" w:rsidRDefault="006C4623" w:rsidP="00795938">
      <w:pPr>
        <w:pStyle w:val="BodyText"/>
      </w:pPr>
    </w:p>
    <w:sectPr w:rsidR="006C4623" w:rsidSect="003E28C1">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67A"/>
    <w:rsid w:val="000A6A0F"/>
    <w:rsid w:val="000B3B5D"/>
    <w:rsid w:val="000C7148"/>
    <w:rsid w:val="00181D1B"/>
    <w:rsid w:val="001834C1"/>
    <w:rsid w:val="00285766"/>
    <w:rsid w:val="002C43D0"/>
    <w:rsid w:val="003216E1"/>
    <w:rsid w:val="003C07BB"/>
    <w:rsid w:val="003C3A75"/>
    <w:rsid w:val="003E28C1"/>
    <w:rsid w:val="00401A5B"/>
    <w:rsid w:val="004134BE"/>
    <w:rsid w:val="00455E95"/>
    <w:rsid w:val="00493AD9"/>
    <w:rsid w:val="004D2210"/>
    <w:rsid w:val="005036BA"/>
    <w:rsid w:val="00524A38"/>
    <w:rsid w:val="005949E4"/>
    <w:rsid w:val="005B1F9E"/>
    <w:rsid w:val="005E5444"/>
    <w:rsid w:val="00625301"/>
    <w:rsid w:val="0065639D"/>
    <w:rsid w:val="0067226A"/>
    <w:rsid w:val="00675B48"/>
    <w:rsid w:val="00692961"/>
    <w:rsid w:val="006B55B1"/>
    <w:rsid w:val="006C4623"/>
    <w:rsid w:val="00723CEB"/>
    <w:rsid w:val="0076607A"/>
    <w:rsid w:val="00795938"/>
    <w:rsid w:val="007A43D2"/>
    <w:rsid w:val="007A464B"/>
    <w:rsid w:val="00811F02"/>
    <w:rsid w:val="00815E5C"/>
    <w:rsid w:val="00820659"/>
    <w:rsid w:val="008305A1"/>
    <w:rsid w:val="00850429"/>
    <w:rsid w:val="008B36AF"/>
    <w:rsid w:val="008C3AFD"/>
    <w:rsid w:val="008C4FF3"/>
    <w:rsid w:val="00941905"/>
    <w:rsid w:val="009A167A"/>
    <w:rsid w:val="009B777C"/>
    <w:rsid w:val="00A35C11"/>
    <w:rsid w:val="00A524F1"/>
    <w:rsid w:val="00AD6973"/>
    <w:rsid w:val="00B044F7"/>
    <w:rsid w:val="00B401C2"/>
    <w:rsid w:val="00B651D7"/>
    <w:rsid w:val="00BD61C2"/>
    <w:rsid w:val="00C14850"/>
    <w:rsid w:val="00C34049"/>
    <w:rsid w:val="00C368A1"/>
    <w:rsid w:val="00D23326"/>
    <w:rsid w:val="00DA243B"/>
    <w:rsid w:val="00E9261B"/>
    <w:rsid w:val="00EC7A09"/>
    <w:rsid w:val="00ED22FF"/>
    <w:rsid w:val="00EE0545"/>
    <w:rsid w:val="00F56317"/>
    <w:rsid w:val="00F75312"/>
    <w:rsid w:val="00FB29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67A"/>
    <w:rPr>
      <w:rFonts w:ascii="Verdana" w:hAnsi="Verdana"/>
      <w:color w:val="000066"/>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167A"/>
    <w:rPr>
      <w:rFonts w:cs="Times New Roman"/>
      <w:color w:val="3333CC"/>
      <w:u w:val="single"/>
    </w:rPr>
  </w:style>
  <w:style w:type="paragraph" w:customStyle="1" w:styleId="ConsPlusNonformat">
    <w:name w:val="ConsPlusNonformat"/>
    <w:basedOn w:val="Normal"/>
    <w:uiPriority w:val="99"/>
    <w:rsid w:val="009A167A"/>
    <w:pPr>
      <w:autoSpaceDE w:val="0"/>
      <w:autoSpaceDN w:val="0"/>
    </w:pPr>
    <w:rPr>
      <w:rFonts w:ascii="Courier New" w:hAnsi="Courier New" w:cs="Courier New"/>
      <w:color w:val="auto"/>
      <w:sz w:val="20"/>
      <w:szCs w:val="20"/>
      <w:lang w:eastAsia="ru-RU"/>
    </w:rPr>
  </w:style>
  <w:style w:type="paragraph" w:styleId="BodyText">
    <w:name w:val="Body Text"/>
    <w:basedOn w:val="Normal"/>
    <w:link w:val="BodyTextChar"/>
    <w:uiPriority w:val="99"/>
    <w:rsid w:val="00285766"/>
    <w:pPr>
      <w:jc w:val="both"/>
    </w:pPr>
    <w:rPr>
      <w:rFonts w:ascii="Times New Roman" w:eastAsia="Times New Roman" w:hAnsi="Times New Roman"/>
      <w:b/>
      <w:color w:val="auto"/>
      <w:sz w:val="44"/>
      <w:szCs w:val="20"/>
      <w:lang w:eastAsia="ru-RU"/>
    </w:rPr>
  </w:style>
  <w:style w:type="character" w:customStyle="1" w:styleId="BodyTextChar">
    <w:name w:val="Body Text Char"/>
    <w:basedOn w:val="DefaultParagraphFont"/>
    <w:link w:val="BodyText"/>
    <w:uiPriority w:val="99"/>
    <w:locked/>
    <w:rsid w:val="00285766"/>
    <w:rPr>
      <w:rFonts w:ascii="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1535119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neshma@inbox.ru" TargetMode="External"/><Relationship Id="rId4" Type="http://schemas.openxmlformats.org/officeDocument/2006/relationships/hyperlink" Target="mailto:dmitriev@kineshm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754</Words>
  <Characters>4303</Characters>
  <Application>Microsoft Office Outlook</Application>
  <DocSecurity>0</DocSecurity>
  <Lines>0</Lines>
  <Paragraphs>0</Paragraphs>
  <ScaleCrop>false</ScaleCrop>
  <Company>МРСК Сибири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УСЛУГИ (ПРОЦЕССА) СЕТЕВОЙ ОРГАНИЗАЦИИ</dc:title>
  <dc:subject/>
  <dc:creator>Икко Владимир Владимирович</dc:creator>
  <cp:keywords/>
  <dc:description/>
  <cp:lastModifiedBy>xName</cp:lastModifiedBy>
  <cp:revision>3</cp:revision>
  <cp:lastPrinted>2014-07-29T02:48:00Z</cp:lastPrinted>
  <dcterms:created xsi:type="dcterms:W3CDTF">2018-05-04T13:38:00Z</dcterms:created>
  <dcterms:modified xsi:type="dcterms:W3CDTF">2018-05-04T13:40:00Z</dcterms:modified>
</cp:coreProperties>
</file>