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07" w:rsidRPr="00CD39D2" w:rsidRDefault="007B4707" w:rsidP="00A34C1F">
      <w:pPr>
        <w:pStyle w:val="ConsPlusNonformat"/>
        <w:tabs>
          <w:tab w:val="left" w:pos="0"/>
        </w:tabs>
        <w:spacing w:before="840"/>
        <w:jc w:val="center"/>
        <w:rPr>
          <w:rFonts w:ascii="Times New Roman" w:hAnsi="Times New Roman" w:cs="Times New Roman"/>
          <w:sz w:val="24"/>
          <w:szCs w:val="24"/>
        </w:rPr>
      </w:pPr>
      <w:r w:rsidRPr="00CD39D2">
        <w:rPr>
          <w:rFonts w:ascii="Times New Roman" w:hAnsi="Times New Roman" w:cs="Times New Roman"/>
          <w:sz w:val="24"/>
          <w:szCs w:val="24"/>
        </w:rPr>
        <w:t>ПАСПОРТ УСЛУГИ (ПРОЦЕССА) СЕТЕВОЙ ОРГАНИЗАЦИИ</w:t>
      </w:r>
    </w:p>
    <w:p w:rsidR="007B4707" w:rsidRPr="00CD39D2" w:rsidRDefault="007B4707" w:rsidP="009A4B92">
      <w:pPr>
        <w:pStyle w:val="ConsPlusNonformat"/>
        <w:tabs>
          <w:tab w:val="left" w:pos="11907"/>
        </w:tabs>
        <w:spacing w:before="120"/>
        <w:ind w:right="-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9D2"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Технологическое присоединение посредством перераспределения мощности</w:t>
      </w:r>
    </w:p>
    <w:p w:rsidR="007B4707" w:rsidRPr="009A4B92" w:rsidRDefault="007B4707" w:rsidP="0028148E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B4707" w:rsidRPr="009A4B92" w:rsidRDefault="007B4707" w:rsidP="0028148E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B4707" w:rsidRPr="009A4B92" w:rsidRDefault="007B4707" w:rsidP="0028148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A7314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EF5B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B92">
        <w:rPr>
          <w:rFonts w:ascii="Times New Roman" w:hAnsi="Times New Roman" w:cs="Times New Roman"/>
          <w:sz w:val="24"/>
          <w:szCs w:val="24"/>
        </w:rPr>
        <w:t>Юридические лица, физические лица, индивидуальные предприниматели.</w:t>
      </w:r>
    </w:p>
    <w:p w:rsidR="007B4707" w:rsidRPr="00334A3C" w:rsidRDefault="007B4707" w:rsidP="009A4B92">
      <w:pPr>
        <w:pStyle w:val="ConsPlusNonformat"/>
        <w:tabs>
          <w:tab w:val="left" w:pos="0"/>
          <w:tab w:val="left" w:pos="15451"/>
        </w:tabs>
        <w:spacing w:before="100" w:before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314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B92">
        <w:rPr>
          <w:rFonts w:ascii="Times New Roman" w:hAnsi="Times New Roman" w:cs="Times New Roman"/>
          <w:sz w:val="24"/>
          <w:szCs w:val="24"/>
        </w:rPr>
        <w:t>Тарифы, утвержденные органом исполнительной власти субъекта РФ на период регулирования, ответственным за тарифное регулирование</w:t>
      </w:r>
      <w:r w:rsidRPr="009A4B92">
        <w:rPr>
          <w:rFonts w:ascii="Times New Roman" w:hAnsi="Times New Roman" w:cs="Times New Roman"/>
          <w:sz w:val="24"/>
          <w:szCs w:val="24"/>
        </w:rPr>
        <w:tab/>
      </w:r>
    </w:p>
    <w:p w:rsidR="007B4707" w:rsidRPr="00334A3C" w:rsidRDefault="007B4707" w:rsidP="009A4B92">
      <w:pPr>
        <w:pStyle w:val="ConsPlusNonformat"/>
        <w:tabs>
          <w:tab w:val="left" w:pos="0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4A3C">
        <w:rPr>
          <w:rFonts w:ascii="Times New Roman" w:hAnsi="Times New Roman" w:cs="Times New Roman"/>
          <w:b/>
          <w:sz w:val="24"/>
          <w:szCs w:val="24"/>
        </w:rPr>
        <w:t xml:space="preserve">Условия оказания услуги (процесса): </w:t>
      </w:r>
    </w:p>
    <w:p w:rsidR="007B4707" w:rsidRPr="0028148E" w:rsidRDefault="007B4707" w:rsidP="009A4B92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8E">
        <w:rPr>
          <w:rFonts w:ascii="Times New Roman" w:hAnsi="Times New Roman" w:cs="Times New Roman"/>
          <w:sz w:val="24"/>
          <w:szCs w:val="24"/>
        </w:rPr>
        <w:t xml:space="preserve">а) Наличие соглашения о перераспределении мощности между заинтересованными лицами; наличие избытков мощности. </w:t>
      </w:r>
    </w:p>
    <w:p w:rsidR="007B4707" w:rsidRPr="0028148E" w:rsidRDefault="007B4707" w:rsidP="009A4B92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8E">
        <w:rPr>
          <w:rFonts w:ascii="Times New Roman" w:hAnsi="Times New Roman" w:cs="Times New Roman"/>
          <w:sz w:val="24"/>
          <w:szCs w:val="24"/>
        </w:rPr>
        <w:t>б) Перераспределение возможно в пределах действия одного центра питания (при осуществлении перераспределения максимальной мощности в электрических сетях классом напряжения от 0,4 до 35 кВ центром питания считается питающая подстанция с классом напряжения 35 кВ,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подстанции;</w:t>
      </w:r>
    </w:p>
    <w:p w:rsidR="007B4707" w:rsidRPr="0028148E" w:rsidRDefault="007B4707" w:rsidP="009A4B92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8E">
        <w:rPr>
          <w:rFonts w:ascii="Times New Roman" w:hAnsi="Times New Roman" w:cs="Times New Roman"/>
          <w:sz w:val="24"/>
          <w:szCs w:val="24"/>
        </w:rPr>
        <w:t>в) Заявители,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мощности.</w:t>
      </w:r>
    </w:p>
    <w:p w:rsidR="007B4707" w:rsidRPr="0028148E" w:rsidRDefault="007B4707" w:rsidP="009A4B92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8E">
        <w:rPr>
          <w:rFonts w:ascii="Times New Roman" w:hAnsi="Times New Roman" w:cs="Times New Roman"/>
          <w:sz w:val="24"/>
          <w:szCs w:val="24"/>
        </w:rPr>
        <w:t>г) За исключением юридически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8148E">
        <w:rPr>
          <w:rFonts w:ascii="Times New Roman" w:hAnsi="Times New Roman" w:cs="Times New Roman"/>
          <w:sz w:val="24"/>
          <w:szCs w:val="24"/>
        </w:rPr>
        <w:t xml:space="preserve"> лиц и индивидуальны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8148E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28148E">
        <w:rPr>
          <w:rFonts w:ascii="Times New Roman" w:hAnsi="Times New Roman" w:cs="Times New Roman"/>
          <w:sz w:val="24"/>
          <w:szCs w:val="24"/>
        </w:rPr>
        <w:t xml:space="preserve"> до 150 (3 категория надежности), намеревающихся осуществить присоединение по временной схеме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8148E"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148E">
        <w:rPr>
          <w:rFonts w:ascii="Times New Roman" w:hAnsi="Times New Roman" w:cs="Times New Roman"/>
          <w:sz w:val="24"/>
          <w:szCs w:val="24"/>
        </w:rPr>
        <w:t xml:space="preserve">  комунально-бытовая нагрузка</w:t>
      </w:r>
      <w:r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Pr="0028148E">
        <w:rPr>
          <w:rFonts w:ascii="Times New Roman" w:hAnsi="Times New Roman" w:cs="Times New Roman"/>
          <w:sz w:val="24"/>
          <w:szCs w:val="24"/>
        </w:rPr>
        <w:t>до 15 кВт (с учетом ранее присоединенной).</w:t>
      </w:r>
    </w:p>
    <w:p w:rsidR="007B4707" w:rsidRPr="0028148E" w:rsidRDefault="007B4707" w:rsidP="009A4B92">
      <w:pPr>
        <w:pStyle w:val="ConsPlusNonformat"/>
        <w:tabs>
          <w:tab w:val="left" w:pos="0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8E">
        <w:rPr>
          <w:rFonts w:ascii="Times New Roman" w:hAnsi="Times New Roman" w:cs="Times New Roman"/>
          <w:sz w:val="24"/>
          <w:szCs w:val="24"/>
        </w:rPr>
        <w:t>д) Технологическое присоединение лица, заинтересованного в перераспределении мощности, осуществляется только после снижения мощности перераспределителем.</w:t>
      </w:r>
    </w:p>
    <w:p w:rsidR="007B4707" w:rsidRDefault="007B4707" w:rsidP="009A4B9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4707" w:rsidRPr="009A4B92" w:rsidRDefault="007B4707" w:rsidP="009A4B9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4A3C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EF5B75">
        <w:rPr>
          <w:rFonts w:ascii="Times New Roman" w:hAnsi="Times New Roman" w:cs="Times New Roman"/>
          <w:sz w:val="24"/>
          <w:szCs w:val="24"/>
        </w:rPr>
        <w:t xml:space="preserve"> </w:t>
      </w:r>
      <w:r w:rsidRPr="009A4B92">
        <w:rPr>
          <w:rFonts w:ascii="Times New Roman" w:hAnsi="Times New Roman" w:cs="Times New Roman"/>
          <w:sz w:val="24"/>
          <w:szCs w:val="24"/>
        </w:rPr>
        <w:t>Технологическое присоединение путем перераспределения мощности</w:t>
      </w:r>
    </w:p>
    <w:p w:rsidR="007B4707" w:rsidRPr="00A34C1F" w:rsidRDefault="007B4707" w:rsidP="009A4B92">
      <w:pPr>
        <w:pStyle w:val="ConsPlusNonformat"/>
        <w:tabs>
          <w:tab w:val="left" w:pos="0"/>
        </w:tabs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EF5B75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C1F">
        <w:rPr>
          <w:rFonts w:ascii="Times New Roman" w:hAnsi="Times New Roman" w:cs="Times New Roman"/>
          <w:sz w:val="24"/>
          <w:szCs w:val="24"/>
        </w:rPr>
        <w:t>Не более 1 года</w:t>
      </w:r>
    </w:p>
    <w:p w:rsidR="007B4707" w:rsidRDefault="007B4707" w:rsidP="0035710A">
      <w:pPr>
        <w:pStyle w:val="ConsPlusNonformat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B4707" w:rsidRDefault="007B4707" w:rsidP="0035710A">
      <w:pPr>
        <w:pStyle w:val="ConsPlusNonformat"/>
        <w:spacing w:after="120"/>
        <w:rPr>
          <w:rFonts w:ascii="Times New Roman" w:hAnsi="Times New Roman" w:cs="Times New Roman"/>
          <w:b/>
          <w:sz w:val="24"/>
          <w:szCs w:val="24"/>
        </w:rPr>
        <w:sectPr w:rsidR="007B4707" w:rsidSect="00A34C1F">
          <w:pgSz w:w="16838" w:h="11906" w:orient="landscape"/>
          <w:pgMar w:top="1418" w:right="1134" w:bottom="850" w:left="1560" w:header="708" w:footer="708" w:gutter="0"/>
          <w:cols w:space="708"/>
          <w:titlePg/>
          <w:docGrid w:linePitch="360"/>
        </w:sectPr>
      </w:pPr>
    </w:p>
    <w:p w:rsidR="007B4707" w:rsidRDefault="007B4707" w:rsidP="009A4B92">
      <w:pPr>
        <w:pStyle w:val="ConsPlusNonformat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F5B75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1417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992"/>
        <w:gridCol w:w="5387"/>
        <w:gridCol w:w="1984"/>
        <w:gridCol w:w="2977"/>
        <w:gridCol w:w="2126"/>
      </w:tblGrid>
      <w:tr w:rsidR="007B4707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4707" w:rsidRPr="002A7314" w:rsidRDefault="007B4707" w:rsidP="009A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731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4707" w:rsidRPr="002A7314" w:rsidRDefault="007B4707" w:rsidP="009A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7314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4707" w:rsidRPr="002A7314" w:rsidRDefault="007B4707" w:rsidP="009A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7314">
              <w:rPr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4707" w:rsidRPr="002A7314" w:rsidRDefault="007B4707" w:rsidP="009A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7314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4707" w:rsidRPr="002A7314" w:rsidRDefault="007B4707" w:rsidP="009A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7314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4707" w:rsidRPr="002A7314" w:rsidRDefault="007B4707" w:rsidP="009A4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2A7314">
              <w:rPr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7B4707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4707" w:rsidRPr="00334A3C" w:rsidRDefault="007B4707" w:rsidP="00334A3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4707" w:rsidRPr="002A7314" w:rsidRDefault="007B4707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4707" w:rsidRPr="002A7314" w:rsidRDefault="007B4707" w:rsidP="009A4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A7314">
              <w:rPr>
                <w:sz w:val="22"/>
                <w:szCs w:val="22"/>
              </w:rPr>
              <w:t>аправление уведомления и подписанного сторонами соглашения о перераспределении мощности в сетевую организацию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4707" w:rsidRPr="002A7314" w:rsidRDefault="007B4707" w:rsidP="001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>Электронная, 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4707" w:rsidRPr="002A7314" w:rsidRDefault="007B4707" w:rsidP="001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>10 дней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4707" w:rsidRPr="002A7314" w:rsidRDefault="007B4707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 xml:space="preserve">п.п. 34-40 Правил </w:t>
            </w:r>
            <w:r>
              <w:rPr>
                <w:sz w:val="22"/>
                <w:szCs w:val="22"/>
              </w:rPr>
              <w:t>технологического присоединения</w:t>
            </w:r>
            <w:r w:rsidRPr="002A7314">
              <w:rPr>
                <w:rStyle w:val="FootnoteReference"/>
                <w:sz w:val="22"/>
                <w:szCs w:val="22"/>
              </w:rPr>
              <w:footnoteReference w:id="1"/>
            </w:r>
          </w:p>
        </w:tc>
      </w:tr>
      <w:tr w:rsidR="007B4707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4707" w:rsidRPr="00334A3C" w:rsidRDefault="007B4707" w:rsidP="00334A3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4707" w:rsidRPr="00EF5B75" w:rsidRDefault="007B4707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4707" w:rsidRPr="00EF5B75" w:rsidRDefault="007B4707" w:rsidP="009A4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Заключение договора об осуществлении технологического присоединения к электрическим сетям посредством перераспределения максимальной мощности</w:t>
            </w:r>
            <w:r>
              <w:rPr>
                <w:sz w:val="22"/>
                <w:szCs w:val="22"/>
              </w:rPr>
              <w:t xml:space="preserve"> с  лицом, заинтересованным в перераспределении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4707" w:rsidRPr="00EF5B75" w:rsidRDefault="007B4707" w:rsidP="001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4707" w:rsidRPr="00EF5B75" w:rsidRDefault="007B4707" w:rsidP="00167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15 дней (если не указан другой срок в договоре)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4707" w:rsidRPr="00EF5B75" w:rsidRDefault="007B4707" w:rsidP="00357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B4707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4707" w:rsidRPr="00334A3C" w:rsidRDefault="007B4707" w:rsidP="00334A3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4707" w:rsidRPr="002A7314" w:rsidRDefault="007B4707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4707" w:rsidRPr="00CC75ED" w:rsidRDefault="007B4707" w:rsidP="009A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EF5B75">
              <w:rPr>
                <w:sz w:val="22"/>
                <w:szCs w:val="22"/>
              </w:rPr>
              <w:t>Исполнение обязательств</w:t>
            </w:r>
            <w:r>
              <w:rPr>
                <w:sz w:val="22"/>
                <w:szCs w:val="22"/>
              </w:rPr>
              <w:t xml:space="preserve"> </w:t>
            </w:r>
            <w:r w:rsidRPr="00EF5B75">
              <w:rPr>
                <w:sz w:val="22"/>
                <w:szCs w:val="22"/>
              </w:rPr>
              <w:t>по договору</w:t>
            </w:r>
            <w:r>
              <w:rPr>
                <w:sz w:val="22"/>
                <w:szCs w:val="22"/>
              </w:rPr>
              <w:t>:</w:t>
            </w:r>
            <w:r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4707" w:rsidRPr="00CC75ED" w:rsidRDefault="007B4707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F5B75">
              <w:rPr>
                <w:sz w:val="22"/>
                <w:szCs w:val="22"/>
              </w:rPr>
              <w:t>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4707" w:rsidRPr="00CC75ED" w:rsidRDefault="007B4707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4707" w:rsidRPr="00CC75ED" w:rsidRDefault="007B4707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B4707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4707" w:rsidRPr="00334A3C" w:rsidRDefault="007B4707" w:rsidP="00334A3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4707" w:rsidRPr="002A7314" w:rsidRDefault="007B4707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4707" w:rsidRPr="00CC75ED" w:rsidRDefault="007B4707" w:rsidP="009A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EF5B75">
              <w:rPr>
                <w:sz w:val="22"/>
                <w:szCs w:val="22"/>
              </w:rPr>
              <w:t xml:space="preserve">Без мероприятий </w:t>
            </w:r>
            <w:r>
              <w:rPr>
                <w:sz w:val="22"/>
                <w:szCs w:val="22"/>
              </w:rPr>
              <w:t xml:space="preserve">со стороны </w:t>
            </w:r>
            <w:r w:rsidRPr="00EF5B75">
              <w:rPr>
                <w:sz w:val="22"/>
                <w:szCs w:val="22"/>
              </w:rPr>
              <w:t>СО до 670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4707" w:rsidRPr="00CC75ED" w:rsidRDefault="007B4707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4707" w:rsidRPr="00EF5B75" w:rsidRDefault="007B4707" w:rsidP="00543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Не более 120 дней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4707" w:rsidRPr="00CC75ED" w:rsidRDefault="007B4707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B4707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4707" w:rsidRPr="00334A3C" w:rsidRDefault="007B4707" w:rsidP="00334A3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4707" w:rsidRPr="002A7314" w:rsidRDefault="007B4707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>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4707" w:rsidRPr="00CC75ED" w:rsidRDefault="007B4707" w:rsidP="009A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EF5B75">
              <w:rPr>
                <w:sz w:val="22"/>
                <w:szCs w:val="22"/>
              </w:rPr>
              <w:t xml:space="preserve">Без мероприятий </w:t>
            </w:r>
            <w:r>
              <w:rPr>
                <w:sz w:val="22"/>
                <w:szCs w:val="22"/>
              </w:rPr>
              <w:t xml:space="preserve">со стороны </w:t>
            </w:r>
            <w:r w:rsidRPr="00EF5B75">
              <w:rPr>
                <w:sz w:val="22"/>
                <w:szCs w:val="22"/>
              </w:rPr>
              <w:t>СО свыше 670 кВт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4707" w:rsidRPr="00CC75ED" w:rsidRDefault="007B4707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4707" w:rsidRPr="00EF5B75" w:rsidRDefault="007B4707" w:rsidP="00543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Не более 1 год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4707" w:rsidRPr="00CC75ED" w:rsidRDefault="007B4707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B4707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4707" w:rsidRPr="00334A3C" w:rsidRDefault="007B4707" w:rsidP="00334A3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4707" w:rsidRPr="002A7314" w:rsidRDefault="007B4707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2A7314">
              <w:rPr>
                <w:sz w:val="22"/>
                <w:szCs w:val="22"/>
              </w:rPr>
              <w:t>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4707" w:rsidRPr="00CC75ED" w:rsidRDefault="007B4707" w:rsidP="009A4B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2"/>
                <w:szCs w:val="22"/>
              </w:rPr>
              <w:t>С</w:t>
            </w:r>
            <w:r w:rsidRPr="00EF5B75">
              <w:rPr>
                <w:sz w:val="22"/>
                <w:szCs w:val="22"/>
              </w:rPr>
              <w:t xml:space="preserve"> мероприятиями</w:t>
            </w:r>
            <w:r>
              <w:rPr>
                <w:sz w:val="22"/>
                <w:szCs w:val="22"/>
              </w:rPr>
              <w:t xml:space="preserve"> со стороны</w:t>
            </w:r>
            <w:r w:rsidRPr="00EF5B75">
              <w:rPr>
                <w:sz w:val="22"/>
                <w:szCs w:val="22"/>
              </w:rPr>
              <w:t xml:space="preserve"> СО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4707" w:rsidRPr="00CC75ED" w:rsidRDefault="007B4707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4707" w:rsidRPr="00CC75ED" w:rsidRDefault="007B4707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EF5B75">
              <w:rPr>
                <w:sz w:val="22"/>
                <w:szCs w:val="22"/>
              </w:rPr>
              <w:t>Не более 6 месяцев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4707" w:rsidRPr="00CC75ED" w:rsidRDefault="007B4707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B4707" w:rsidRPr="00CC75ED" w:rsidTr="009A4B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4707" w:rsidRPr="00334A3C" w:rsidRDefault="007B4707" w:rsidP="00334A3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0" w:firstLine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4707" w:rsidRPr="002A7314" w:rsidRDefault="007B4707" w:rsidP="00334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4707" w:rsidRPr="00EF5B75" w:rsidRDefault="007B4707" w:rsidP="009A4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Получение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4707" w:rsidRPr="00EF5B75" w:rsidRDefault="007B4707" w:rsidP="0057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F5B75">
              <w:rPr>
                <w:sz w:val="22"/>
                <w:szCs w:val="22"/>
              </w:rPr>
              <w:t>Электронная, 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4707" w:rsidRPr="00EF5B75" w:rsidRDefault="007B4707" w:rsidP="0057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дней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4707" w:rsidRPr="00CC75ED" w:rsidRDefault="007B4707" w:rsidP="00167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7B4707" w:rsidRDefault="007B4707" w:rsidP="00A34C1F">
      <w:pPr>
        <w:pStyle w:val="ConsPlusNonformat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A34C1F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для направления обращений: </w:t>
      </w:r>
    </w:p>
    <w:p w:rsidR="007B4707" w:rsidRPr="00850429" w:rsidRDefault="007B4707" w:rsidP="005A7C0E">
      <w:pPr>
        <w:autoSpaceDE w:val="0"/>
        <w:autoSpaceDN w:val="0"/>
        <w:adjustRightInd w:val="0"/>
        <w:spacing w:after="60" w:line="240" w:lineRule="auto"/>
        <w:jc w:val="both"/>
      </w:pPr>
      <w:r w:rsidRPr="00850429">
        <w:rPr>
          <w:i/>
        </w:rPr>
        <w:t>Факс секретаря:</w:t>
      </w:r>
      <w:r w:rsidRPr="00850429">
        <w:rPr>
          <w:i/>
        </w:rPr>
        <w:tab/>
      </w:r>
      <w:r w:rsidRPr="00850429">
        <w:rPr>
          <w:i/>
        </w:rPr>
        <w:tab/>
        <w:t>(-49331-)</w:t>
      </w:r>
      <w:r w:rsidRPr="005949E4">
        <w:t>75-2</w:t>
      </w:r>
      <w:r w:rsidRPr="00850429">
        <w:t>-</w:t>
      </w:r>
      <w:r w:rsidRPr="005949E4">
        <w:t>9</w:t>
      </w:r>
      <w:r w:rsidRPr="00850429">
        <w:t>7</w:t>
      </w:r>
    </w:p>
    <w:p w:rsidR="007B4707" w:rsidRPr="00850429" w:rsidRDefault="007B4707" w:rsidP="005A7C0E">
      <w:pPr>
        <w:pStyle w:val="BodyText"/>
        <w:rPr>
          <w:i/>
          <w:sz w:val="24"/>
          <w:szCs w:val="24"/>
        </w:rPr>
      </w:pPr>
      <w:r w:rsidRPr="00E9261B">
        <w:rPr>
          <w:sz w:val="24"/>
          <w:szCs w:val="24"/>
          <w:lang w:val="en-US"/>
        </w:rPr>
        <w:t>E</w:t>
      </w:r>
      <w:r w:rsidRPr="00850429">
        <w:rPr>
          <w:sz w:val="24"/>
          <w:szCs w:val="24"/>
        </w:rPr>
        <w:t>-</w:t>
      </w:r>
      <w:r w:rsidRPr="00E9261B">
        <w:rPr>
          <w:sz w:val="24"/>
          <w:szCs w:val="24"/>
          <w:lang w:val="en-US"/>
        </w:rPr>
        <w:t>mail</w:t>
      </w:r>
      <w:r w:rsidRPr="00850429">
        <w:rPr>
          <w:sz w:val="24"/>
          <w:szCs w:val="24"/>
        </w:rPr>
        <w:t xml:space="preserve">: </w:t>
      </w:r>
      <w:hyperlink r:id="rId7" w:history="1">
        <w:r w:rsidRPr="0065639D">
          <w:rPr>
            <w:rStyle w:val="Hyperlink"/>
            <w:sz w:val="24"/>
            <w:szCs w:val="24"/>
            <w:lang w:val="en-US"/>
          </w:rPr>
          <w:t>dmitriev</w:t>
        </w:r>
        <w:r w:rsidRPr="00850429">
          <w:rPr>
            <w:rStyle w:val="Hyperlink"/>
            <w:sz w:val="24"/>
            <w:szCs w:val="24"/>
          </w:rPr>
          <w:t>@</w:t>
        </w:r>
        <w:r w:rsidRPr="0065639D">
          <w:rPr>
            <w:rStyle w:val="Hyperlink"/>
            <w:sz w:val="24"/>
            <w:szCs w:val="24"/>
            <w:lang w:val="en-US"/>
          </w:rPr>
          <w:t>kineshma</w:t>
        </w:r>
        <w:r w:rsidRPr="00850429">
          <w:rPr>
            <w:rStyle w:val="Hyperlink"/>
            <w:sz w:val="24"/>
            <w:szCs w:val="24"/>
          </w:rPr>
          <w:t>.</w:t>
        </w:r>
        <w:r w:rsidRPr="0065639D">
          <w:rPr>
            <w:rStyle w:val="Hyperlink"/>
            <w:sz w:val="24"/>
            <w:szCs w:val="24"/>
            <w:lang w:val="en-US"/>
          </w:rPr>
          <w:t>ru</w:t>
        </w:r>
      </w:hyperlink>
      <w:r w:rsidRPr="00850429">
        <w:rPr>
          <w:sz w:val="24"/>
          <w:szCs w:val="24"/>
        </w:rPr>
        <w:t xml:space="preserve">  ( </w:t>
      </w:r>
      <w:hyperlink r:id="rId8" w:history="1">
        <w:r w:rsidRPr="0065639D">
          <w:rPr>
            <w:rStyle w:val="Hyperlink"/>
            <w:sz w:val="24"/>
            <w:szCs w:val="24"/>
            <w:lang w:val="en-US"/>
          </w:rPr>
          <w:t>kineshma</w:t>
        </w:r>
        <w:r w:rsidRPr="00850429">
          <w:rPr>
            <w:rStyle w:val="Hyperlink"/>
            <w:sz w:val="24"/>
            <w:szCs w:val="24"/>
          </w:rPr>
          <w:t>@</w:t>
        </w:r>
        <w:r w:rsidRPr="0065639D">
          <w:rPr>
            <w:rStyle w:val="Hyperlink"/>
            <w:sz w:val="24"/>
            <w:szCs w:val="24"/>
            <w:lang w:val="en-US"/>
          </w:rPr>
          <w:t>inbox</w:t>
        </w:r>
        <w:r w:rsidRPr="00850429">
          <w:rPr>
            <w:rStyle w:val="Hyperlink"/>
            <w:sz w:val="24"/>
            <w:szCs w:val="24"/>
          </w:rPr>
          <w:t>.</w:t>
        </w:r>
        <w:r w:rsidRPr="0065639D">
          <w:rPr>
            <w:rStyle w:val="Hyperlink"/>
            <w:sz w:val="24"/>
            <w:szCs w:val="24"/>
            <w:lang w:val="en-US"/>
          </w:rPr>
          <w:t>ru</w:t>
        </w:r>
      </w:hyperlink>
      <w:r w:rsidRPr="00850429">
        <w:rPr>
          <w:sz w:val="24"/>
          <w:szCs w:val="24"/>
        </w:rPr>
        <w:t xml:space="preserve"> </w:t>
      </w:r>
      <w:r w:rsidRPr="00850429">
        <w:rPr>
          <w:i/>
          <w:sz w:val="24"/>
          <w:szCs w:val="24"/>
        </w:rPr>
        <w:t xml:space="preserve">)     </w:t>
      </w:r>
    </w:p>
    <w:sectPr w:rsidR="007B4707" w:rsidRPr="00850429" w:rsidSect="009A4B92">
      <w:pgSz w:w="16838" w:h="11906" w:orient="landscape"/>
      <w:pgMar w:top="993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707" w:rsidRDefault="007B4707" w:rsidP="0035710A">
      <w:pPr>
        <w:spacing w:after="0" w:line="240" w:lineRule="auto"/>
      </w:pPr>
      <w:r>
        <w:separator/>
      </w:r>
    </w:p>
  </w:endnote>
  <w:endnote w:type="continuationSeparator" w:id="0">
    <w:p w:rsidR="007B4707" w:rsidRDefault="007B4707" w:rsidP="0035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707" w:rsidRDefault="007B4707" w:rsidP="0035710A">
      <w:pPr>
        <w:spacing w:after="0" w:line="240" w:lineRule="auto"/>
      </w:pPr>
      <w:r>
        <w:separator/>
      </w:r>
    </w:p>
  </w:footnote>
  <w:footnote w:type="continuationSeparator" w:id="0">
    <w:p w:rsidR="007B4707" w:rsidRDefault="007B4707" w:rsidP="0035710A">
      <w:pPr>
        <w:spacing w:after="0" w:line="240" w:lineRule="auto"/>
      </w:pPr>
      <w:r>
        <w:continuationSeparator/>
      </w:r>
    </w:p>
  </w:footnote>
  <w:footnote w:id="1">
    <w:p w:rsidR="007B4707" w:rsidRDefault="007B4707" w:rsidP="009A4B9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iCs w:val="0"/>
          <w:lang w:eastAsia="ru-RU"/>
        </w:rPr>
        <w:t>«</w:t>
      </w:r>
      <w:r w:rsidRPr="00695211">
        <w:rPr>
          <w:iCs w:val="0"/>
          <w:lang w:eastAsia="ru-RU"/>
        </w:rPr>
        <w:t>Правила</w:t>
      </w:r>
      <w:r w:rsidRPr="0035710A">
        <w:rPr>
          <w:iCs w:val="0"/>
          <w:lang w:eastAsia="ru-RU"/>
        </w:rPr>
        <w:t xml:space="preserve"> </w:t>
      </w:r>
      <w:r w:rsidRPr="00695211">
        <w:rPr>
          <w:iCs w:val="0"/>
          <w:lang w:eastAsia="ru-RU"/>
        </w:rPr>
        <w:t>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iCs w:val="0"/>
          <w:lang w:eastAsia="ru-RU"/>
        </w:rPr>
        <w:t xml:space="preserve">», утвержденные </w:t>
      </w:r>
      <w:r w:rsidRPr="00695211">
        <w:rPr>
          <w:iCs w:val="0"/>
          <w:lang w:eastAsia="ru-RU"/>
        </w:rPr>
        <w:t>Постановление</w:t>
      </w:r>
      <w:r>
        <w:rPr>
          <w:iCs w:val="0"/>
          <w:lang w:eastAsia="ru-RU"/>
        </w:rPr>
        <w:t>м</w:t>
      </w:r>
      <w:r w:rsidRPr="00695211">
        <w:rPr>
          <w:iCs w:val="0"/>
          <w:lang w:eastAsia="ru-RU"/>
        </w:rPr>
        <w:t xml:space="preserve"> Правительства РФ от 27 декабря 2004 г. N 861</w:t>
      </w:r>
      <w:r>
        <w:rPr>
          <w:iCs w:val="0"/>
          <w:lang w:eastAsia="ru-RU"/>
        </w:rPr>
        <w:t xml:space="preserve"> </w:t>
      </w:r>
      <w:r w:rsidRPr="00695211">
        <w:rPr>
          <w:iCs w:val="0"/>
          <w:lang w:eastAsia="ru-RU"/>
        </w:rPr>
        <w:t>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</w:p>
  </w:footnote>
  <w:footnote w:id="2">
    <w:p w:rsidR="007B4707" w:rsidRDefault="007B4707" w:rsidP="009A4B9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iCs w:val="0"/>
          <w:lang w:eastAsia="ru-RU"/>
        </w:rPr>
        <w:t>Е</w:t>
      </w:r>
      <w:r w:rsidRPr="00695211">
        <w:rPr>
          <w:iCs w:val="0"/>
          <w:lang w:eastAsia="ru-RU"/>
        </w:rPr>
        <w:t>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33CB2"/>
    <w:multiLevelType w:val="hybridMultilevel"/>
    <w:tmpl w:val="7902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CE47F0"/>
    <w:multiLevelType w:val="hybridMultilevel"/>
    <w:tmpl w:val="7B6ECA66"/>
    <w:lvl w:ilvl="0" w:tplc="FF4CACD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D3ECF"/>
    <w:multiLevelType w:val="hybridMultilevel"/>
    <w:tmpl w:val="808E3F3A"/>
    <w:lvl w:ilvl="0" w:tplc="C8423F6C">
      <w:start w:val="10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B01"/>
    <w:rsid w:val="00020B15"/>
    <w:rsid w:val="00093952"/>
    <w:rsid w:val="00122357"/>
    <w:rsid w:val="00167ABC"/>
    <w:rsid w:val="002358F0"/>
    <w:rsid w:val="00280299"/>
    <w:rsid w:val="0028148E"/>
    <w:rsid w:val="002A7314"/>
    <w:rsid w:val="00334A3C"/>
    <w:rsid w:val="0035710A"/>
    <w:rsid w:val="003D24A4"/>
    <w:rsid w:val="003E70D1"/>
    <w:rsid w:val="0040385F"/>
    <w:rsid w:val="004500DF"/>
    <w:rsid w:val="0048461E"/>
    <w:rsid w:val="004944BF"/>
    <w:rsid w:val="004E0CB8"/>
    <w:rsid w:val="00543ECB"/>
    <w:rsid w:val="00547129"/>
    <w:rsid w:val="00565A80"/>
    <w:rsid w:val="00570534"/>
    <w:rsid w:val="005949E4"/>
    <w:rsid w:val="005A7C0E"/>
    <w:rsid w:val="0065639D"/>
    <w:rsid w:val="0068169F"/>
    <w:rsid w:val="00695211"/>
    <w:rsid w:val="007B4707"/>
    <w:rsid w:val="007B6B01"/>
    <w:rsid w:val="00820659"/>
    <w:rsid w:val="00850429"/>
    <w:rsid w:val="00922CFE"/>
    <w:rsid w:val="00985F21"/>
    <w:rsid w:val="009A4B92"/>
    <w:rsid w:val="009F556A"/>
    <w:rsid w:val="009F722B"/>
    <w:rsid w:val="00A0034E"/>
    <w:rsid w:val="00A34C1F"/>
    <w:rsid w:val="00AE087E"/>
    <w:rsid w:val="00AF5804"/>
    <w:rsid w:val="00B47400"/>
    <w:rsid w:val="00B47628"/>
    <w:rsid w:val="00B74D8A"/>
    <w:rsid w:val="00B94163"/>
    <w:rsid w:val="00BE0D21"/>
    <w:rsid w:val="00C80BBE"/>
    <w:rsid w:val="00C9573F"/>
    <w:rsid w:val="00CC75ED"/>
    <w:rsid w:val="00CD39D2"/>
    <w:rsid w:val="00D62B09"/>
    <w:rsid w:val="00DC3E4A"/>
    <w:rsid w:val="00E134E2"/>
    <w:rsid w:val="00E91A27"/>
    <w:rsid w:val="00E9261B"/>
    <w:rsid w:val="00EF5B75"/>
    <w:rsid w:val="00F1524F"/>
    <w:rsid w:val="00F22761"/>
    <w:rsid w:val="00F5392D"/>
    <w:rsid w:val="00F60C60"/>
    <w:rsid w:val="00F93B44"/>
    <w:rsid w:val="00FB4356"/>
    <w:rsid w:val="00FC7C53"/>
    <w:rsid w:val="00FE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B01"/>
    <w:pPr>
      <w:spacing w:after="200" w:line="276" w:lineRule="auto"/>
    </w:pPr>
    <w:rPr>
      <w:i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521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5211"/>
    <w:rPr>
      <w:rFonts w:ascii="Cambria" w:hAnsi="Cambria" w:cs="Times New Roman"/>
      <w:b/>
      <w:bCs/>
      <w:iCs/>
      <w:color w:val="365F91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B6B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69521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9521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571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710A"/>
    <w:rPr>
      <w:rFonts w:cs="Times New Roman"/>
      <w:iCs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5710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3571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5710A"/>
    <w:rPr>
      <w:rFonts w:cs="Times New Roman"/>
      <w:iCs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35710A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9A4B9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A4B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A4B92"/>
    <w:rPr>
      <w:rFonts w:cs="Times New Roman"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4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4B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A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4B92"/>
    <w:rPr>
      <w:rFonts w:ascii="Tahoma" w:hAnsi="Tahoma" w:cs="Tahoma"/>
      <w:iCs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A3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4C1F"/>
    <w:rPr>
      <w:rFonts w:cs="Times New Roman"/>
      <w:i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34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4C1F"/>
    <w:rPr>
      <w:rFonts w:cs="Times New Roman"/>
      <w:i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5A7C0E"/>
    <w:pPr>
      <w:spacing w:after="0" w:line="240" w:lineRule="auto"/>
      <w:jc w:val="both"/>
    </w:pPr>
    <w:rPr>
      <w:rFonts w:eastAsia="Times New Roman"/>
      <w:b/>
      <w:iCs w:val="0"/>
      <w:sz w:val="4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7C0E"/>
    <w:rPr>
      <w:rFonts w:eastAsia="Times New Roman" w:cs="Times New Roman"/>
      <w:b/>
      <w:sz w:val="4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shma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itriev@kinesh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440</Words>
  <Characters>2511</Characters>
  <Application>Microsoft Office Outlook</Application>
  <DocSecurity>0</DocSecurity>
  <Lines>0</Lines>
  <Paragraphs>0</Paragraphs>
  <ScaleCrop>false</ScaleCrop>
  <Company>MOESK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moesk</dc:creator>
  <cp:keywords/>
  <dc:description/>
  <cp:lastModifiedBy>xName</cp:lastModifiedBy>
  <cp:revision>2</cp:revision>
  <cp:lastPrinted>2014-08-01T06:17:00Z</cp:lastPrinted>
  <dcterms:created xsi:type="dcterms:W3CDTF">2018-05-07T05:19:00Z</dcterms:created>
  <dcterms:modified xsi:type="dcterms:W3CDTF">2018-05-07T05:19:00Z</dcterms:modified>
</cp:coreProperties>
</file>